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A322E" w14:textId="77777777" w:rsidR="00C652FC" w:rsidRDefault="00000000">
      <w:pPr>
        <w:spacing w:after="40"/>
        <w:jc w:val="center"/>
        <w:rPr>
          <w:rFonts w:ascii="Calibri" w:hAnsi="Calibri" w:cs="Calibri"/>
          <w:sz w:val="18"/>
          <w:szCs w:val="21"/>
        </w:rPr>
      </w:pPr>
      <w:r>
        <w:rPr>
          <w:rFonts w:ascii="Calibri" w:hAnsi="Calibri" w:cs="Calibri"/>
          <w:b/>
          <w:color w:val="17365D"/>
          <w:sz w:val="40"/>
          <w:szCs w:val="21"/>
        </w:rPr>
        <w:t>WORKSHOP ON DIAGNOSTICS FOR FUSION POWER PLANTS</w:t>
      </w:r>
    </w:p>
    <w:p w14:paraId="5C53DAFD" w14:textId="7377F328" w:rsidR="00C652FC" w:rsidRDefault="00000000">
      <w:pPr>
        <w:spacing w:after="240"/>
        <w:jc w:val="center"/>
        <w:rPr>
          <w:rFonts w:ascii="Calibri" w:hAnsi="Calibri" w:cs="Calibri"/>
          <w:b/>
          <w:color w:val="187C80"/>
          <w:sz w:val="22"/>
        </w:rPr>
      </w:pPr>
      <w:r>
        <w:rPr>
          <w:rFonts w:ascii="Calibri" w:hAnsi="Calibri" w:cs="Calibri"/>
          <w:b/>
          <w:color w:val="187C80"/>
          <w:sz w:val="22"/>
        </w:rPr>
        <w:t xml:space="preserve">Las Palmas de Gran Canaria, Spain • </w:t>
      </w:r>
      <w:r w:rsidR="002640D3">
        <w:rPr>
          <w:rFonts w:ascii="Calibri" w:hAnsi="Calibri" w:cs="Calibri"/>
          <w:b/>
          <w:color w:val="187C80"/>
          <w:sz w:val="22"/>
        </w:rPr>
        <w:t>18-20</w:t>
      </w:r>
      <w:r>
        <w:rPr>
          <w:rFonts w:ascii="Calibri" w:hAnsi="Calibri" w:cs="Calibri"/>
          <w:b/>
          <w:color w:val="187C80"/>
          <w:sz w:val="22"/>
        </w:rPr>
        <w:t xml:space="preserve"> November 2026</w:t>
      </w:r>
    </w:p>
    <w:p w14:paraId="1804F24E" w14:textId="77777777" w:rsidR="00C652FC" w:rsidRDefault="00000000">
      <w:pPr>
        <w:pStyle w:val="Ttulo1"/>
        <w:rPr>
          <w:rFonts w:ascii="Calibri" w:hAnsi="Calibri" w:cs="Calibri"/>
          <w:color w:val="31849B" w:themeColor="accent5" w:themeShade="BF"/>
          <w:sz w:val="24"/>
          <w:szCs w:val="22"/>
        </w:rPr>
      </w:pPr>
      <w:r>
        <w:rPr>
          <w:rFonts w:cs="Calibri"/>
          <w:color w:val="31849B" w:themeColor="accent5" w:themeShade="BF"/>
          <w:sz w:val="24"/>
          <w:szCs w:val="22"/>
        </w:rPr>
        <w:t>Convened by</w:t>
      </w:r>
    </w:p>
    <w:p w14:paraId="10D05E60" w14:textId="58DDB3C4" w:rsidR="00C652FC" w:rsidRDefault="00000000">
      <w:pPr>
        <w:spacing w:after="240"/>
        <w:jc w:val="both"/>
      </w:pPr>
      <w:r>
        <w:rPr>
          <w:rFonts w:ascii="Calibri" w:hAnsi="Calibri" w:cs="Calibri"/>
        </w:rPr>
        <w:t xml:space="preserve">The workshop is financially supported by Next Step Fusion. The technical </w:t>
      </w:r>
      <w:proofErr w:type="spellStart"/>
      <w:r>
        <w:rPr>
          <w:rFonts w:ascii="Calibri" w:hAnsi="Calibri" w:cs="Calibri"/>
        </w:rPr>
        <w:t>programme</w:t>
      </w:r>
      <w:proofErr w:type="spellEnd"/>
      <w:r>
        <w:rPr>
          <w:rFonts w:ascii="Calibri" w:hAnsi="Calibri" w:cs="Calibri"/>
        </w:rPr>
        <w:t xml:space="preserve"> is being jointly developed by Tony Donné (CEO, </w:t>
      </w:r>
      <w:proofErr w:type="spellStart"/>
      <w:r>
        <w:rPr>
          <w:rFonts w:ascii="Calibri" w:hAnsi="Calibri" w:cs="Calibri"/>
        </w:rPr>
        <w:t>FEInn</w:t>
      </w:r>
      <w:proofErr w:type="spellEnd"/>
      <w:r>
        <w:rPr>
          <w:rFonts w:ascii="Calibri" w:hAnsi="Calibri" w:cs="Calibri"/>
        </w:rPr>
        <w:t xml:space="preserve">), Valentina Nikolaeva </w:t>
      </w:r>
      <w:r w:rsidR="006623F0">
        <w:rPr>
          <w:rFonts w:ascii="Calibri" w:hAnsi="Calibri" w:cs="Calibri"/>
        </w:rPr>
        <w:t>(Senior</w:t>
      </w:r>
      <w:r w:rsidR="006623F0" w:rsidRPr="006623F0">
        <w:rPr>
          <w:rFonts w:ascii="Calibri" w:hAnsi="Calibri" w:cs="Calibri"/>
          <w:lang w:val="en-GB"/>
        </w:rPr>
        <w:t xml:space="preserve"> Scientist, ARC Plasma Diagnostics and Instrumentation</w:t>
      </w:r>
      <w:r>
        <w:rPr>
          <w:rFonts w:ascii="Calibri" w:hAnsi="Calibri" w:cs="Calibri"/>
        </w:rPr>
        <w:t xml:space="preserve">, CFS), </w:t>
      </w:r>
      <w:r w:rsidR="006623F0">
        <w:rPr>
          <w:rFonts w:ascii="Calibri" w:hAnsi="Calibri" w:cs="Calibri"/>
        </w:rPr>
        <w:t xml:space="preserve">Georgy Subbotin (CTO, Next Step Fusion) and </w:t>
      </w:r>
      <w:r>
        <w:rPr>
          <w:rFonts w:ascii="Calibri" w:hAnsi="Calibri" w:cs="Calibri"/>
        </w:rPr>
        <w:t>Aleksei Zolotarev (CEO, NSF). The meeting is intended as a neutral, non-commercial technical workshop, and its conclusions will be owned, reviewed and agreed collectively by the participants.</w:t>
      </w:r>
    </w:p>
    <w:tbl>
      <w:tblPr>
        <w:tblW w:w="10156" w:type="dxa"/>
        <w:jc w:val="center"/>
        <w:tblCellMar>
          <w:top w:w="160" w:type="dxa"/>
          <w:left w:w="180" w:type="dxa"/>
          <w:bottom w:w="160" w:type="dxa"/>
          <w:right w:w="180" w:type="dxa"/>
        </w:tblCellMar>
        <w:tblLook w:val="04A0" w:firstRow="1" w:lastRow="0" w:firstColumn="1" w:lastColumn="0" w:noHBand="0" w:noVBand="1"/>
      </w:tblPr>
      <w:tblGrid>
        <w:gridCol w:w="10156"/>
      </w:tblGrid>
      <w:tr w:rsidR="00C652FC" w14:paraId="225A7D7A" w14:textId="77777777" w:rsidTr="006623F0">
        <w:trPr>
          <w:cantSplit/>
          <w:trHeight w:val="841"/>
          <w:jc w:val="center"/>
        </w:trPr>
        <w:tc>
          <w:tcPr>
            <w:tcW w:w="10156" w:type="dxa"/>
            <w:tcBorders>
              <w:top w:val="single" w:sz="4" w:space="0" w:color="B8C8D0"/>
              <w:left w:val="single" w:sz="4" w:space="0" w:color="B8C8D0"/>
              <w:bottom w:val="single" w:sz="4" w:space="0" w:color="B8C8D0"/>
              <w:right w:val="single" w:sz="4" w:space="0" w:color="B8C8D0"/>
            </w:tcBorders>
            <w:shd w:val="clear" w:color="auto" w:fill="EAF2F5"/>
          </w:tcPr>
          <w:p w14:paraId="24C139A8" w14:textId="77777777" w:rsidR="00C652FC" w:rsidRDefault="00000000">
            <w:pPr>
              <w:spacing w:after="80"/>
              <w:rPr>
                <w:rFonts w:ascii="Calibri" w:hAnsi="Calibri" w:cs="Calibri"/>
              </w:rPr>
            </w:pPr>
            <w:r>
              <w:rPr>
                <w:rFonts w:ascii="Calibri" w:hAnsi="Calibri" w:cs="Calibri"/>
                <w:b/>
                <w:color w:val="187C80"/>
                <w:sz w:val="18"/>
              </w:rPr>
              <w:t>CENTRAL QUESTION</w:t>
            </w:r>
          </w:p>
          <w:p w14:paraId="23CD9F06" w14:textId="77777777" w:rsidR="00C652FC" w:rsidRDefault="00000000" w:rsidP="006623F0">
            <w:pPr>
              <w:spacing w:after="0"/>
              <w:jc w:val="both"/>
            </w:pPr>
            <w:r>
              <w:rPr>
                <w:rFonts w:ascii="Calibri" w:hAnsi="Calibri" w:cs="Calibri"/>
                <w:b/>
                <w:color w:val="17365D"/>
                <w:sz w:val="22"/>
              </w:rPr>
              <w:t xml:space="preserve">What measurement capabilities and supporting evidence will future fusion power plants require for control, protection, safety, commissioning and asset management and what needs to be developed, qualified or </w:t>
            </w:r>
            <w:proofErr w:type="spellStart"/>
            <w:r>
              <w:rPr>
                <w:rFonts w:ascii="Calibri" w:hAnsi="Calibri" w:cs="Calibri"/>
                <w:b/>
                <w:color w:val="17365D"/>
                <w:sz w:val="22"/>
              </w:rPr>
              <w:t>industrialised</w:t>
            </w:r>
            <w:proofErr w:type="spellEnd"/>
            <w:r>
              <w:rPr>
                <w:rFonts w:ascii="Calibri" w:hAnsi="Calibri" w:cs="Calibri"/>
                <w:b/>
                <w:color w:val="17365D"/>
                <w:sz w:val="22"/>
              </w:rPr>
              <w:t xml:space="preserve"> to deliver them?</w:t>
            </w:r>
          </w:p>
        </w:tc>
      </w:tr>
    </w:tbl>
    <w:p w14:paraId="048C7210" w14:textId="77777777" w:rsidR="00C652FC" w:rsidRDefault="00000000">
      <w:pPr>
        <w:pStyle w:val="Ttulo1"/>
        <w:rPr>
          <w:rFonts w:ascii="Calibri" w:hAnsi="Calibri" w:cs="Calibri"/>
          <w:color w:val="31849B" w:themeColor="accent5" w:themeShade="BF"/>
          <w:sz w:val="24"/>
          <w:szCs w:val="22"/>
        </w:rPr>
      </w:pPr>
      <w:r>
        <w:rPr>
          <w:rFonts w:cs="Calibri"/>
          <w:color w:val="31849B" w:themeColor="accent5" w:themeShade="BF"/>
          <w:sz w:val="24"/>
          <w:szCs w:val="22"/>
        </w:rPr>
        <w:t>Purpose and context</w:t>
      </w:r>
    </w:p>
    <w:p w14:paraId="1B0080E5" w14:textId="77777777" w:rsidR="00C652FC" w:rsidRDefault="00000000">
      <w:pPr>
        <w:jc w:val="both"/>
        <w:rPr>
          <w:rFonts w:ascii="Calibri" w:hAnsi="Calibri" w:cs="Calibri"/>
        </w:rPr>
      </w:pPr>
      <w:r>
        <w:rPr>
          <w:rFonts w:ascii="Calibri" w:hAnsi="Calibri" w:cs="Calibri"/>
        </w:rPr>
        <w:t>Fusion is moving from experimental devices towards machines intended for reliable, maintainable and ultimately industrial operation. Several fusion developers have announced demonstration or power-producing plant targets in the 2030s. Irrespective of the exact deployment date, the long development and qualification lead times mean that plant-level diagnostic and instrumentation requirements need to be addressed now.</w:t>
      </w:r>
    </w:p>
    <w:p w14:paraId="7D5D83B1" w14:textId="3C91D60F" w:rsidR="00C652FC" w:rsidRDefault="00000000">
      <w:pPr>
        <w:jc w:val="both"/>
      </w:pPr>
      <w:r>
        <w:rPr>
          <w:rFonts w:ascii="Calibri" w:hAnsi="Calibri" w:cs="Calibri"/>
        </w:rPr>
        <w:t xml:space="preserve">The workshop </w:t>
      </w:r>
      <w:r w:rsidR="006623F0">
        <w:rPr>
          <w:rFonts w:ascii="Calibri" w:hAnsi="Calibri" w:cs="Calibri"/>
        </w:rPr>
        <w:t>aims to</w:t>
      </w:r>
      <w:r>
        <w:rPr>
          <w:rFonts w:ascii="Calibri" w:hAnsi="Calibri" w:cs="Calibri"/>
        </w:rPr>
        <w:t xml:space="preserve"> bring together fusion power-plant developers, diagnostics and control specialists, technology developers, suppliers, systems engineers, and experts in nuclear instrumentation, safety, regulation, fuel cycle and breeding blankets. It will provide a focused setting in which the users of future measurement systems can engage directly with those who may develop, qualify, integrate and supply them.</w:t>
      </w:r>
    </w:p>
    <w:p w14:paraId="0792077A" w14:textId="77777777" w:rsidR="00C652FC" w:rsidRDefault="00000000">
      <w:pPr>
        <w:pStyle w:val="Ttulo1"/>
        <w:rPr>
          <w:rFonts w:ascii="Calibri" w:hAnsi="Calibri" w:cs="Calibri"/>
          <w:color w:val="31849B" w:themeColor="accent5" w:themeShade="BF"/>
          <w:sz w:val="24"/>
          <w:szCs w:val="22"/>
        </w:rPr>
      </w:pPr>
      <w:r>
        <w:rPr>
          <w:rFonts w:cs="Calibri"/>
          <w:color w:val="31849B" w:themeColor="accent5" w:themeShade="BF"/>
          <w:sz w:val="24"/>
          <w:szCs w:val="22"/>
        </w:rPr>
        <w:t>Approach and scope</w:t>
      </w:r>
    </w:p>
    <w:p w14:paraId="083595A3" w14:textId="77777777" w:rsidR="00C652FC" w:rsidRDefault="00000000">
      <w:pPr>
        <w:jc w:val="both"/>
        <w:rPr>
          <w:rFonts w:ascii="Calibri" w:hAnsi="Calibri" w:cs="Calibri"/>
        </w:rPr>
      </w:pPr>
      <w:r>
        <w:rPr>
          <w:rFonts w:ascii="Calibri" w:hAnsi="Calibri" w:cs="Calibri"/>
        </w:rPr>
        <w:t xml:space="preserve">The discussion will begin with the functions a future fusion power plant must perform and the decisions that its control, protection, safety and maintenance systems must make. It will then identify the information and measurement capabilities needed to support those functions. The intention is not to start from today’s diagnostic inventory or to promote </w:t>
      </w:r>
      <w:proofErr w:type="gramStart"/>
      <w:r>
        <w:rPr>
          <w:rFonts w:ascii="Calibri" w:hAnsi="Calibri" w:cs="Calibri"/>
        </w:rPr>
        <w:t>particular technologies</w:t>
      </w:r>
      <w:proofErr w:type="gramEnd"/>
      <w:r>
        <w:rPr>
          <w:rFonts w:ascii="Calibri" w:hAnsi="Calibri" w:cs="Calibri"/>
        </w:rPr>
        <w:t>.</w:t>
      </w:r>
    </w:p>
    <w:p w14:paraId="0ABA382E" w14:textId="77777777" w:rsidR="00C652FC" w:rsidRDefault="00000000">
      <w:pPr>
        <w:jc w:val="both"/>
        <w:rPr>
          <w:rFonts w:ascii="Calibri" w:hAnsi="Calibri" w:cs="Calibri"/>
        </w:rPr>
      </w:pPr>
      <w:r>
        <w:rPr>
          <w:rFonts w:ascii="Calibri" w:hAnsi="Calibri" w:cs="Calibri"/>
        </w:rPr>
        <w:t xml:space="preserve">The workshop will seek common requirements where these exist, while explicitly recording differences among tokamaks, stellarators and other relevant concepts. “Technology-neutral” therefore means using a common method to express requirements and evidence, not </w:t>
      </w:r>
      <w:proofErr w:type="gramStart"/>
      <w:r>
        <w:rPr>
          <w:rFonts w:ascii="Calibri" w:hAnsi="Calibri" w:cs="Calibri"/>
        </w:rPr>
        <w:t>assuming that</w:t>
      </w:r>
      <w:proofErr w:type="gramEnd"/>
      <w:r>
        <w:rPr>
          <w:rFonts w:ascii="Calibri" w:hAnsi="Calibri" w:cs="Calibri"/>
        </w:rPr>
        <w:t xml:space="preserve"> every plant concept needs the same hardware or measurement set.</w:t>
      </w:r>
    </w:p>
    <w:p w14:paraId="2509E566" w14:textId="77777777" w:rsidR="00C652FC" w:rsidRDefault="00000000">
      <w:pPr>
        <w:pStyle w:val="Listaconvietas"/>
        <w:numPr>
          <w:ilvl w:val="0"/>
          <w:numId w:val="1"/>
        </w:numPr>
        <w:spacing w:after="60"/>
        <w:jc w:val="both"/>
        <w:rPr>
          <w:rFonts w:ascii="Calibri" w:hAnsi="Calibri" w:cs="Calibri"/>
        </w:rPr>
      </w:pPr>
      <w:r>
        <w:rPr>
          <w:rFonts w:ascii="Calibri" w:hAnsi="Calibri" w:cs="Calibri"/>
        </w:rPr>
        <w:t>Plasma and plant control, machine and investment protection, and nuclear-safety monitoring.</w:t>
      </w:r>
    </w:p>
    <w:p w14:paraId="07B245BC" w14:textId="77777777" w:rsidR="00C652FC" w:rsidRDefault="00000000">
      <w:pPr>
        <w:pStyle w:val="Listaconvietas"/>
        <w:numPr>
          <w:ilvl w:val="0"/>
          <w:numId w:val="1"/>
        </w:numPr>
        <w:spacing w:after="60"/>
        <w:jc w:val="both"/>
        <w:rPr>
          <w:rFonts w:ascii="Calibri" w:hAnsi="Calibri" w:cs="Calibri"/>
        </w:rPr>
      </w:pPr>
      <w:r>
        <w:rPr>
          <w:rFonts w:ascii="Calibri" w:hAnsi="Calibri" w:cs="Calibri"/>
        </w:rPr>
        <w:t>Commissioning, normal operation, transients, shutdown, maintenance and abnormal or accident conditions.</w:t>
      </w:r>
    </w:p>
    <w:p w14:paraId="5D2A024E" w14:textId="77777777" w:rsidR="00C652FC" w:rsidRDefault="00000000">
      <w:pPr>
        <w:pStyle w:val="Listaconvietas"/>
        <w:numPr>
          <w:ilvl w:val="0"/>
          <w:numId w:val="1"/>
        </w:numPr>
        <w:spacing w:after="60"/>
        <w:jc w:val="both"/>
        <w:rPr>
          <w:rFonts w:ascii="Calibri" w:hAnsi="Calibri" w:cs="Calibri"/>
        </w:rPr>
      </w:pPr>
      <w:r>
        <w:rPr>
          <w:rFonts w:ascii="Calibri" w:hAnsi="Calibri" w:cs="Calibri"/>
        </w:rPr>
        <w:t>Component and system condition monitoring, predictive maintenance and remote inspection.</w:t>
      </w:r>
    </w:p>
    <w:p w14:paraId="2FA74F57" w14:textId="77777777" w:rsidR="00C652FC" w:rsidRDefault="00000000">
      <w:pPr>
        <w:pStyle w:val="Listaconvietas"/>
        <w:numPr>
          <w:ilvl w:val="0"/>
          <w:numId w:val="1"/>
        </w:numPr>
        <w:spacing w:after="60"/>
        <w:jc w:val="both"/>
        <w:rPr>
          <w:rFonts w:ascii="Calibri" w:hAnsi="Calibri" w:cs="Calibri"/>
        </w:rPr>
      </w:pPr>
      <w:r>
        <w:rPr>
          <w:rFonts w:ascii="Calibri" w:hAnsi="Calibri" w:cs="Calibri"/>
        </w:rPr>
        <w:t>Fuel-cycle, tritium-accountancy, breeding-blanket, coolant and environmental measurements.</w:t>
      </w:r>
    </w:p>
    <w:p w14:paraId="409B90C0" w14:textId="77777777" w:rsidR="00C652FC" w:rsidRDefault="00000000">
      <w:pPr>
        <w:pStyle w:val="Listaconvietas"/>
        <w:numPr>
          <w:ilvl w:val="0"/>
          <w:numId w:val="1"/>
        </w:numPr>
        <w:spacing w:after="60"/>
        <w:jc w:val="both"/>
        <w:rPr>
          <w:rFonts w:ascii="Calibri" w:hAnsi="Calibri" w:cs="Calibri"/>
        </w:rPr>
      </w:pPr>
      <w:r>
        <w:rPr>
          <w:rFonts w:ascii="Calibri" w:hAnsi="Calibri" w:cs="Calibri"/>
        </w:rPr>
        <w:t>Radiation, temperature, electromagnetic, chemical, access and remote-maintenance constraints.</w:t>
      </w:r>
    </w:p>
    <w:p w14:paraId="2B0CEEEB" w14:textId="77777777" w:rsidR="00C652FC" w:rsidRDefault="00000000">
      <w:pPr>
        <w:pStyle w:val="Listaconvietas"/>
        <w:numPr>
          <w:ilvl w:val="0"/>
          <w:numId w:val="1"/>
        </w:numPr>
        <w:spacing w:after="60"/>
        <w:jc w:val="both"/>
        <w:rPr>
          <w:rFonts w:ascii="Calibri" w:hAnsi="Calibri" w:cs="Calibri"/>
        </w:rPr>
      </w:pPr>
      <w:r>
        <w:rPr>
          <w:rFonts w:ascii="Calibri" w:hAnsi="Calibri" w:cs="Calibri"/>
        </w:rPr>
        <w:t>Reliability, availability, lifetime, drift, calibration, redundancy, self-diagnostics and failure response.</w:t>
      </w:r>
    </w:p>
    <w:p w14:paraId="2A3666B1" w14:textId="77777777" w:rsidR="00C652FC" w:rsidRDefault="00000000">
      <w:pPr>
        <w:pStyle w:val="Listaconvietas"/>
        <w:numPr>
          <w:ilvl w:val="0"/>
          <w:numId w:val="1"/>
        </w:numPr>
        <w:spacing w:after="60"/>
        <w:jc w:val="both"/>
        <w:rPr>
          <w:rFonts w:ascii="Calibri" w:hAnsi="Calibri" w:cs="Calibri"/>
        </w:rPr>
      </w:pPr>
      <w:r>
        <w:rPr>
          <w:rFonts w:ascii="Calibri" w:hAnsi="Calibri" w:cs="Calibri"/>
        </w:rPr>
        <w:t>Direct measurement versus validated estimation or model-based inference, including validity limits and fallback provisions.</w:t>
      </w:r>
    </w:p>
    <w:p w14:paraId="040E6C6C" w14:textId="77777777" w:rsidR="00C652FC" w:rsidRDefault="00000000">
      <w:pPr>
        <w:pStyle w:val="Listaconvietas"/>
        <w:numPr>
          <w:ilvl w:val="0"/>
          <w:numId w:val="1"/>
        </w:numPr>
        <w:spacing w:after="60"/>
        <w:jc w:val="both"/>
        <w:rPr>
          <w:rFonts w:ascii="Calibri" w:hAnsi="Calibri" w:cs="Calibri"/>
        </w:rPr>
      </w:pPr>
      <w:r>
        <w:rPr>
          <w:rFonts w:ascii="Calibri" w:hAnsi="Calibri" w:cs="Calibri"/>
        </w:rPr>
        <w:t xml:space="preserve">Qualification, metrology, </w:t>
      </w:r>
      <w:proofErr w:type="spellStart"/>
      <w:r>
        <w:rPr>
          <w:rFonts w:ascii="Calibri" w:hAnsi="Calibri" w:cs="Calibri"/>
        </w:rPr>
        <w:t>standardisation</w:t>
      </w:r>
      <w:proofErr w:type="spellEnd"/>
      <w:r>
        <w:rPr>
          <w:rFonts w:ascii="Calibri" w:hAnsi="Calibri" w:cs="Calibri"/>
        </w:rPr>
        <w:t xml:space="preserve"> and </w:t>
      </w:r>
      <w:proofErr w:type="spellStart"/>
      <w:r>
        <w:rPr>
          <w:rFonts w:ascii="Calibri" w:hAnsi="Calibri" w:cs="Calibri"/>
        </w:rPr>
        <w:t>industrialisation</w:t>
      </w:r>
      <w:proofErr w:type="spellEnd"/>
      <w:r>
        <w:rPr>
          <w:rFonts w:ascii="Calibri" w:hAnsi="Calibri" w:cs="Calibri"/>
        </w:rPr>
        <w:t xml:space="preserve"> opportunities across the full measurement chain.</w:t>
      </w:r>
    </w:p>
    <w:p w14:paraId="38620FBA" w14:textId="77777777" w:rsidR="00C652FC" w:rsidRDefault="00000000">
      <w:pPr>
        <w:pStyle w:val="Ttulo1"/>
        <w:rPr>
          <w:rFonts w:ascii="Calibri" w:hAnsi="Calibri" w:cs="Calibri"/>
          <w:color w:val="31849B" w:themeColor="accent5" w:themeShade="BF"/>
          <w:sz w:val="24"/>
          <w:szCs w:val="22"/>
        </w:rPr>
      </w:pPr>
      <w:r>
        <w:rPr>
          <w:rFonts w:cs="Calibri"/>
          <w:color w:val="31849B" w:themeColor="accent5" w:themeShade="BF"/>
          <w:sz w:val="24"/>
          <w:szCs w:val="22"/>
        </w:rPr>
        <w:lastRenderedPageBreak/>
        <w:t>Boundaries</w:t>
      </w:r>
    </w:p>
    <w:p w14:paraId="250217A8" w14:textId="77777777" w:rsidR="00C652FC" w:rsidRDefault="00000000">
      <w:pPr>
        <w:rPr>
          <w:rFonts w:ascii="Calibri" w:hAnsi="Calibri" w:cs="Calibri"/>
        </w:rPr>
      </w:pPr>
      <w:r>
        <w:rPr>
          <w:rFonts w:ascii="Calibri" w:hAnsi="Calibri" w:cs="Calibri"/>
        </w:rPr>
        <w:t>This first workshop will not select suppliers, prescribe individual diagnostic technologies, establish binding licensing requirements, rank fusion concepts or approve a final plant diagnostic architecture. Participants will not be expected to disclose proprietary information. Where numerical requirements cannot yet be justified, the workshop will record the relevant assumptions and define the follow-up work needed to establish them.</w:t>
      </w:r>
    </w:p>
    <w:p w14:paraId="5C524DA3" w14:textId="77777777" w:rsidR="00C652FC" w:rsidRDefault="00000000">
      <w:pPr>
        <w:pStyle w:val="Ttulo1"/>
        <w:rPr>
          <w:rFonts w:ascii="Calibri" w:hAnsi="Calibri" w:cs="Calibri"/>
          <w:color w:val="31849B" w:themeColor="accent5" w:themeShade="BF"/>
          <w:sz w:val="24"/>
          <w:szCs w:val="22"/>
        </w:rPr>
      </w:pPr>
      <w:r>
        <w:rPr>
          <w:rFonts w:cs="Calibri"/>
          <w:color w:val="31849B" w:themeColor="accent5" w:themeShade="BF"/>
          <w:sz w:val="24"/>
          <w:szCs w:val="22"/>
        </w:rPr>
        <w:t>Working format</w:t>
      </w:r>
    </w:p>
    <w:p w14:paraId="5C795C9A" w14:textId="77777777" w:rsidR="00C652FC" w:rsidRDefault="00000000">
      <w:pPr>
        <w:rPr>
          <w:rFonts w:ascii="Calibri" w:hAnsi="Calibri" w:cs="Calibri"/>
        </w:rPr>
      </w:pPr>
      <w:r>
        <w:rPr>
          <w:rFonts w:ascii="Calibri" w:hAnsi="Calibri" w:cs="Calibri"/>
        </w:rPr>
        <w:t xml:space="preserve">This is a small, invitation-based working meeting rather than a conventional conference. Short contributions will establish the context or present specific plant challenges; </w:t>
      </w:r>
      <w:proofErr w:type="gramStart"/>
      <w:r>
        <w:rPr>
          <w:rFonts w:ascii="Calibri" w:hAnsi="Calibri" w:cs="Calibri"/>
        </w:rPr>
        <w:t>the majority of</w:t>
      </w:r>
      <w:proofErr w:type="gramEnd"/>
      <w:r>
        <w:rPr>
          <w:rFonts w:ascii="Calibri" w:hAnsi="Calibri" w:cs="Calibri"/>
        </w:rPr>
        <w:t xml:space="preserve"> the time will be devoted to facilitated focus groups and plenary decision sessions. General company or institutional presentations are outside the intended format.</w:t>
      </w:r>
    </w:p>
    <w:p w14:paraId="36E2597C" w14:textId="77777777" w:rsidR="00C652FC" w:rsidRDefault="00000000">
      <w:pPr>
        <w:rPr>
          <w:rFonts w:ascii="Calibri" w:hAnsi="Calibri" w:cs="Calibri"/>
        </w:rPr>
      </w:pPr>
      <w:r>
        <w:rPr>
          <w:rFonts w:ascii="Calibri" w:hAnsi="Calibri" w:cs="Calibri"/>
        </w:rPr>
        <w:t>To support an open exchange, discussions will be non-attributable unless a participant explicitly agrees otherwise. No recording is planned, and no proprietary information is requested. Any participant-facing summary intended for wider circulation will be shared with participants for review before publication.</w:t>
      </w:r>
    </w:p>
    <w:p w14:paraId="248FC636" w14:textId="77777777" w:rsidR="00C652FC" w:rsidRDefault="00000000">
      <w:pPr>
        <w:pStyle w:val="Ttulo1"/>
        <w:rPr>
          <w:rFonts w:ascii="Calibri" w:hAnsi="Calibri" w:cs="Calibri"/>
          <w:color w:val="31849B" w:themeColor="accent5" w:themeShade="BF"/>
          <w:sz w:val="24"/>
          <w:szCs w:val="22"/>
        </w:rPr>
      </w:pPr>
      <w:r>
        <w:rPr>
          <w:rFonts w:cs="Calibri"/>
          <w:color w:val="31849B" w:themeColor="accent5" w:themeShade="BF"/>
          <w:sz w:val="24"/>
          <w:szCs w:val="22"/>
        </w:rPr>
        <w:t>Participant preparation</w:t>
      </w:r>
    </w:p>
    <w:p w14:paraId="3AB3C921" w14:textId="00ED03A7" w:rsidR="00C652FC" w:rsidRDefault="00000000">
      <w:pPr>
        <w:rPr>
          <w:rFonts w:ascii="Calibri" w:hAnsi="Calibri" w:cs="Calibri"/>
        </w:rPr>
      </w:pPr>
      <w:r>
        <w:rPr>
          <w:rFonts w:ascii="Calibri" w:hAnsi="Calibri" w:cs="Calibri"/>
        </w:rPr>
        <w:t xml:space="preserve">Before the workshop, participants will receive a </w:t>
      </w:r>
      <w:r w:rsidR="006623F0">
        <w:rPr>
          <w:rFonts w:ascii="Calibri" w:hAnsi="Calibri" w:cs="Calibri"/>
        </w:rPr>
        <w:t>short, structured</w:t>
      </w:r>
      <w:r>
        <w:rPr>
          <w:rFonts w:ascii="Calibri" w:hAnsi="Calibri" w:cs="Calibri"/>
        </w:rPr>
        <w:t xml:space="preserve"> questionnaire. Responses will be consolidated into a preliminary capability and gap matrix and circulated approximately one week before the meeting. This will allow the workshop to challenge, refine and </w:t>
      </w:r>
      <w:proofErr w:type="spellStart"/>
      <w:r>
        <w:rPr>
          <w:rFonts w:ascii="Calibri" w:hAnsi="Calibri" w:cs="Calibri"/>
        </w:rPr>
        <w:t>prioritise</w:t>
      </w:r>
      <w:proofErr w:type="spellEnd"/>
      <w:r>
        <w:rPr>
          <w:rFonts w:ascii="Calibri" w:hAnsi="Calibri" w:cs="Calibri"/>
        </w:rPr>
        <w:t xml:space="preserve"> prepared material rather than compile an initial list from scratch.</w:t>
      </w:r>
    </w:p>
    <w:p w14:paraId="1E37C3B8" w14:textId="77777777" w:rsidR="00C652FC" w:rsidRDefault="00000000">
      <w:pPr>
        <w:pStyle w:val="Listaconvietas"/>
        <w:numPr>
          <w:ilvl w:val="0"/>
          <w:numId w:val="1"/>
        </w:numPr>
        <w:spacing w:after="60"/>
        <w:rPr>
          <w:rFonts w:ascii="Calibri" w:hAnsi="Calibri" w:cs="Calibri"/>
        </w:rPr>
      </w:pPr>
      <w:r>
        <w:rPr>
          <w:rFonts w:ascii="Calibri" w:hAnsi="Calibri" w:cs="Calibri"/>
        </w:rPr>
        <w:t>Plant developers will be asked to identify critical plant functions, difficult measurement capabilities, environmental or integration constraints, and needs from the diagnostic community and industry.</w:t>
      </w:r>
    </w:p>
    <w:p w14:paraId="5C5C1D51" w14:textId="77777777" w:rsidR="00C652FC" w:rsidRDefault="00000000">
      <w:pPr>
        <w:pStyle w:val="Listaconvietas"/>
        <w:numPr>
          <w:ilvl w:val="0"/>
          <w:numId w:val="1"/>
        </w:numPr>
        <w:spacing w:after="60"/>
        <w:rPr>
          <w:rFonts w:ascii="Calibri" w:hAnsi="Calibri" w:cs="Calibri"/>
        </w:rPr>
      </w:pPr>
      <w:r>
        <w:rPr>
          <w:rFonts w:ascii="Calibri" w:hAnsi="Calibri" w:cs="Calibri"/>
        </w:rPr>
        <w:t xml:space="preserve">Diagnostic developers and suppliers will be asked to identify available capabilities, maturity and qualification limits, realistic </w:t>
      </w:r>
      <w:proofErr w:type="spellStart"/>
      <w:r>
        <w:rPr>
          <w:rFonts w:ascii="Calibri" w:hAnsi="Calibri" w:cs="Calibri"/>
        </w:rPr>
        <w:t>industrialisation</w:t>
      </w:r>
      <w:proofErr w:type="spellEnd"/>
      <w:r>
        <w:rPr>
          <w:rFonts w:ascii="Calibri" w:hAnsi="Calibri" w:cs="Calibri"/>
        </w:rPr>
        <w:t xml:space="preserve"> routes, and requirements that remain unclear.</w:t>
      </w:r>
    </w:p>
    <w:p w14:paraId="54DDA476" w14:textId="77777777" w:rsidR="00C652FC" w:rsidRDefault="00000000">
      <w:pPr>
        <w:pStyle w:val="Listaconvietas"/>
        <w:numPr>
          <w:ilvl w:val="0"/>
          <w:numId w:val="1"/>
        </w:numPr>
        <w:spacing w:after="60"/>
        <w:rPr>
          <w:rFonts w:ascii="Calibri" w:hAnsi="Calibri" w:cs="Calibri"/>
        </w:rPr>
      </w:pPr>
      <w:r>
        <w:rPr>
          <w:rFonts w:ascii="Calibri" w:hAnsi="Calibri" w:cs="Calibri"/>
        </w:rPr>
        <w:t>Safety, I&amp;C, metrology, test-facility and systems experts will be asked to identify evidence, qualification, architecture and lifecycle requirements that may not be visible from a diagnostic-technology perspective.</w:t>
      </w:r>
    </w:p>
    <w:p w14:paraId="55FB1C41" w14:textId="77777777" w:rsidR="00C652FC" w:rsidRDefault="00000000">
      <w:pPr>
        <w:pStyle w:val="Ttulo1"/>
        <w:rPr>
          <w:rFonts w:ascii="Calibri" w:hAnsi="Calibri" w:cs="Calibri"/>
          <w:color w:val="31849B" w:themeColor="accent5" w:themeShade="BF"/>
          <w:sz w:val="24"/>
          <w:szCs w:val="22"/>
        </w:rPr>
      </w:pPr>
      <w:r>
        <w:rPr>
          <w:rFonts w:cs="Calibri"/>
          <w:color w:val="31849B" w:themeColor="accent5" w:themeShade="BF"/>
          <w:sz w:val="24"/>
          <w:szCs w:val="22"/>
        </w:rPr>
        <w:t>Expected outputs</w:t>
      </w:r>
    </w:p>
    <w:p w14:paraId="1D77DE34" w14:textId="77777777" w:rsidR="00C652FC" w:rsidRDefault="00000000">
      <w:pPr>
        <w:rPr>
          <w:rFonts w:ascii="Calibri" w:hAnsi="Calibri" w:cs="Calibri"/>
        </w:rPr>
      </w:pPr>
      <w:r>
        <w:rPr>
          <w:rFonts w:ascii="Calibri" w:hAnsi="Calibri" w:cs="Calibri"/>
        </w:rPr>
        <w:t>The workshop is intended to produce four practical outputs:</w:t>
      </w:r>
    </w:p>
    <w:p w14:paraId="1A943CA5" w14:textId="77777777" w:rsidR="00C652FC" w:rsidRDefault="00000000">
      <w:pPr>
        <w:pStyle w:val="Listaconvietas"/>
        <w:numPr>
          <w:ilvl w:val="0"/>
          <w:numId w:val="1"/>
        </w:numPr>
        <w:spacing w:after="60"/>
        <w:rPr>
          <w:rFonts w:ascii="Calibri" w:hAnsi="Calibri" w:cs="Calibri"/>
        </w:rPr>
      </w:pPr>
      <w:r>
        <w:rPr>
          <w:rFonts w:ascii="Calibri" w:hAnsi="Calibri" w:cs="Calibri"/>
        </w:rPr>
        <w:t>A shared capability framework covering plant functions, operating states and measurement-criticality categories.</w:t>
      </w:r>
    </w:p>
    <w:p w14:paraId="43E751EB" w14:textId="77777777" w:rsidR="00C652FC" w:rsidRDefault="00000000">
      <w:pPr>
        <w:pStyle w:val="Listaconvietas"/>
        <w:numPr>
          <w:ilvl w:val="0"/>
          <w:numId w:val="1"/>
        </w:numPr>
        <w:spacing w:after="60"/>
        <w:rPr>
          <w:rFonts w:ascii="Calibri" w:hAnsi="Calibri" w:cs="Calibri"/>
        </w:rPr>
      </w:pPr>
      <w:r>
        <w:rPr>
          <w:rFonts w:ascii="Calibri" w:hAnsi="Calibri" w:cs="Calibri"/>
        </w:rPr>
        <w:t>An initial requirements and gap matrix that distinguishes common, concept-specific and unresolved needs.</w:t>
      </w:r>
    </w:p>
    <w:p w14:paraId="1C3E8542" w14:textId="792A5D9D" w:rsidR="00C652FC" w:rsidRDefault="006623F0" w:rsidP="006623F0">
      <w:pPr>
        <w:pStyle w:val="Listaconvietas"/>
        <w:numPr>
          <w:ilvl w:val="0"/>
          <w:numId w:val="1"/>
        </w:numPr>
        <w:spacing w:after="60"/>
        <w:jc w:val="both"/>
      </w:pPr>
      <w:r w:rsidRPr="006623F0">
        <w:rPr>
          <w:rFonts w:ascii="Calibri" w:hAnsi="Calibri" w:cs="Calibri"/>
          <w:lang w:val="en-GB"/>
        </w:rPr>
        <w:t>An initial development roadmap identifying three to five priority themes, key knowledge and evidence gaps, dependencies, and proposed next steps, including topics for follow-up workshops." Record potential contributors where volunteered; detailed work packages, partners and milestones can be developed subsequently.</w:t>
      </w:r>
      <w:r>
        <w:rPr>
          <w:rFonts w:ascii="Calibri" w:hAnsi="Calibri" w:cs="Calibri"/>
        </w:rPr>
        <w:t xml:space="preserve"> </w:t>
      </w:r>
    </w:p>
    <w:p w14:paraId="258AE322" w14:textId="6FBABE79" w:rsidR="00C652FC" w:rsidRDefault="00000000">
      <w:pPr>
        <w:pStyle w:val="Listaconvietas"/>
        <w:numPr>
          <w:ilvl w:val="0"/>
          <w:numId w:val="1"/>
        </w:numPr>
        <w:spacing w:after="60"/>
        <w:rPr>
          <w:rFonts w:ascii="Calibri" w:hAnsi="Calibri" w:cs="Calibri"/>
        </w:rPr>
      </w:pPr>
      <w:r>
        <w:rPr>
          <w:rFonts w:ascii="Calibri" w:hAnsi="Calibri" w:cs="Calibri"/>
        </w:rPr>
        <w:t xml:space="preserve">A concise participant-reviewed workshop </w:t>
      </w:r>
      <w:r w:rsidR="006623F0">
        <w:rPr>
          <w:rFonts w:ascii="Calibri" w:hAnsi="Calibri" w:cs="Calibri"/>
        </w:rPr>
        <w:t>notes</w:t>
      </w:r>
      <w:r>
        <w:rPr>
          <w:rFonts w:ascii="Calibri" w:hAnsi="Calibri" w:cs="Calibri"/>
        </w:rPr>
        <w:t xml:space="preserve"> recording areas of consensus, conditional conclusions, concept-specific differences and unresolved questions.</w:t>
      </w:r>
    </w:p>
    <w:p w14:paraId="5C3864FE" w14:textId="77777777" w:rsidR="00C652FC" w:rsidRDefault="00000000">
      <w:pPr>
        <w:rPr>
          <w:rFonts w:ascii="Calibri" w:hAnsi="Calibri" w:cs="Calibri"/>
        </w:rPr>
      </w:pPr>
      <w:r>
        <w:rPr>
          <w:rFonts w:ascii="Calibri" w:hAnsi="Calibri" w:cs="Calibri"/>
        </w:rPr>
        <w:t>The meeting is intended as the beginning of an international requirements and collaboration process rather than a one-off event. Follow-up work may include focused technical meetings, shared test or qualification activities, standards-related work, or collaborative R&amp;D proposals.</w:t>
      </w:r>
    </w:p>
    <w:p w14:paraId="7A8755B6" w14:textId="77777777" w:rsidR="00C652FC" w:rsidRDefault="00000000">
      <w:pPr>
        <w:pStyle w:val="Ttulo1"/>
        <w:rPr>
          <w:rFonts w:ascii="Calibri" w:hAnsi="Calibri" w:cs="Calibri"/>
          <w:color w:val="31849B" w:themeColor="accent5" w:themeShade="BF"/>
          <w:sz w:val="24"/>
          <w:szCs w:val="22"/>
        </w:rPr>
      </w:pPr>
      <w:r>
        <w:rPr>
          <w:rFonts w:cs="Calibri"/>
          <w:color w:val="31849B" w:themeColor="accent5" w:themeShade="BF"/>
          <w:sz w:val="24"/>
          <w:szCs w:val="22"/>
        </w:rPr>
        <w:t>Working matrix</w:t>
      </w:r>
    </w:p>
    <w:p w14:paraId="34F02778" w14:textId="77777777" w:rsidR="00C652FC" w:rsidRDefault="00000000">
      <w:pPr>
        <w:jc w:val="both"/>
        <w:rPr>
          <w:rFonts w:ascii="Calibri" w:hAnsi="Calibri" w:cs="Calibri"/>
        </w:rPr>
      </w:pPr>
      <w:r>
        <w:rPr>
          <w:rFonts w:ascii="Calibri" w:hAnsi="Calibri" w:cs="Calibri"/>
        </w:rPr>
        <w:t>For each capability, the workshop will seek to record the plant function and operating state; required information; performance, coverage and outage tolerance; consequence of incorrect or unavailable information; environmental and integration constraints; lifetime, calibration and maintainability needs; delivery route; required qualification evidence; current maturity; principal gap; and proposed follow-up action.</w:t>
      </w:r>
    </w:p>
    <w:p w14:paraId="7C270646" w14:textId="77777777" w:rsidR="00C652FC" w:rsidRDefault="00000000">
      <w:pPr>
        <w:rPr>
          <w:rFonts w:ascii="Calibri" w:hAnsi="Calibri" w:cs="Calibri"/>
        </w:rPr>
      </w:pPr>
      <w:r>
        <w:br w:type="page"/>
      </w:r>
    </w:p>
    <w:p w14:paraId="0028A9EA" w14:textId="77777777" w:rsidR="00C652FC" w:rsidRDefault="00000000">
      <w:pPr>
        <w:jc w:val="center"/>
        <w:rPr>
          <w:rFonts w:ascii="Calibri" w:hAnsi="Calibri" w:cs="Calibri"/>
        </w:rPr>
      </w:pPr>
      <w:r>
        <w:rPr>
          <w:rFonts w:ascii="Calibri" w:hAnsi="Calibri" w:cs="Calibri"/>
          <w:b/>
          <w:color w:val="17365D"/>
          <w:sz w:val="40"/>
        </w:rPr>
        <w:lastRenderedPageBreak/>
        <w:t>PROVISIONAL AGENDA</w:t>
      </w:r>
    </w:p>
    <w:p w14:paraId="330B1A80" w14:textId="77777777" w:rsidR="00C652FC" w:rsidRDefault="00000000">
      <w:pPr>
        <w:spacing w:after="200"/>
        <w:jc w:val="center"/>
        <w:rPr>
          <w:rFonts w:ascii="Calibri" w:hAnsi="Calibri" w:cs="Calibri"/>
        </w:rPr>
      </w:pPr>
      <w:r>
        <w:rPr>
          <w:rFonts w:ascii="Calibri" w:hAnsi="Calibri" w:cs="Calibri"/>
          <w:i/>
          <w:color w:val="5C6670"/>
          <w:sz w:val="18"/>
        </w:rPr>
        <w:t>The agenda may be refined in response to participant input.</w:t>
      </w:r>
    </w:p>
    <w:p w14:paraId="4C046596" w14:textId="77777777" w:rsidR="00C652FC" w:rsidRDefault="00000000">
      <w:pPr>
        <w:pStyle w:val="Ttulo1"/>
        <w:rPr>
          <w:rFonts w:ascii="Calibri" w:hAnsi="Calibri" w:cs="Calibri"/>
        </w:rPr>
      </w:pPr>
      <w:r>
        <w:rPr>
          <w:rFonts w:cs="Calibri"/>
        </w:rPr>
        <w:t>Day 1 — Defining the measurement problem</w:t>
      </w:r>
    </w:p>
    <w:tbl>
      <w:tblPr>
        <w:tblW w:w="9864" w:type="dxa"/>
        <w:jc w:val="center"/>
        <w:tblCellMar>
          <w:top w:w="90" w:type="dxa"/>
          <w:left w:w="110" w:type="dxa"/>
          <w:bottom w:w="90" w:type="dxa"/>
          <w:right w:w="110" w:type="dxa"/>
        </w:tblCellMar>
        <w:tblLook w:val="04A0" w:firstRow="1" w:lastRow="0" w:firstColumn="1" w:lastColumn="0" w:noHBand="0" w:noVBand="1"/>
      </w:tblPr>
      <w:tblGrid>
        <w:gridCol w:w="1224"/>
        <w:gridCol w:w="3167"/>
        <w:gridCol w:w="1799"/>
        <w:gridCol w:w="3674"/>
      </w:tblGrid>
      <w:tr w:rsidR="00C652FC" w14:paraId="67791D2E" w14:textId="77777777" w:rsidTr="007F5243">
        <w:trPr>
          <w:cantSplit/>
          <w:tblHeader/>
          <w:jc w:val="center"/>
        </w:trPr>
        <w:tc>
          <w:tcPr>
            <w:tcW w:w="1224" w:type="dxa"/>
            <w:tcBorders>
              <w:top w:val="single" w:sz="4" w:space="0" w:color="B8C8D0"/>
              <w:left w:val="single" w:sz="4" w:space="0" w:color="B8C8D0"/>
              <w:bottom w:val="single" w:sz="4" w:space="0" w:color="B8C8D0"/>
              <w:right w:val="single" w:sz="4" w:space="0" w:color="B8C8D0"/>
            </w:tcBorders>
            <w:shd w:val="clear" w:color="auto" w:fill="17365D"/>
            <w:vAlign w:val="center"/>
          </w:tcPr>
          <w:p w14:paraId="5FB9FF7C" w14:textId="77777777" w:rsidR="00C652FC" w:rsidRDefault="00000000">
            <w:pPr>
              <w:spacing w:after="0"/>
              <w:rPr>
                <w:rFonts w:ascii="Calibri" w:hAnsi="Calibri" w:cs="Calibri"/>
              </w:rPr>
            </w:pPr>
            <w:r>
              <w:rPr>
                <w:rFonts w:ascii="Calibri" w:hAnsi="Calibri" w:cs="Calibri"/>
                <w:b/>
                <w:color w:val="FFFFFF"/>
                <w:sz w:val="18"/>
              </w:rPr>
              <w:t>Time</w:t>
            </w:r>
          </w:p>
        </w:tc>
        <w:tc>
          <w:tcPr>
            <w:tcW w:w="3167" w:type="dxa"/>
            <w:tcBorders>
              <w:top w:val="single" w:sz="4" w:space="0" w:color="B8C8D0"/>
              <w:left w:val="single" w:sz="4" w:space="0" w:color="B8C8D0"/>
              <w:bottom w:val="single" w:sz="4" w:space="0" w:color="B8C8D0"/>
              <w:right w:val="single" w:sz="4" w:space="0" w:color="B8C8D0"/>
            </w:tcBorders>
            <w:shd w:val="clear" w:color="auto" w:fill="17365D"/>
            <w:vAlign w:val="center"/>
          </w:tcPr>
          <w:p w14:paraId="7D8B29A2" w14:textId="77777777" w:rsidR="00C652FC" w:rsidRDefault="00000000">
            <w:pPr>
              <w:spacing w:after="0"/>
              <w:rPr>
                <w:rFonts w:ascii="Calibri" w:hAnsi="Calibri" w:cs="Calibri"/>
              </w:rPr>
            </w:pPr>
            <w:r>
              <w:rPr>
                <w:rFonts w:ascii="Calibri" w:hAnsi="Calibri" w:cs="Calibri"/>
                <w:b/>
                <w:color w:val="FFFFFF"/>
                <w:sz w:val="18"/>
              </w:rPr>
              <w:t>Session</w:t>
            </w:r>
          </w:p>
        </w:tc>
        <w:tc>
          <w:tcPr>
            <w:tcW w:w="1799" w:type="dxa"/>
            <w:tcBorders>
              <w:top w:val="single" w:sz="4" w:space="0" w:color="B8C8D0"/>
              <w:left w:val="single" w:sz="4" w:space="0" w:color="B8C8D0"/>
              <w:bottom w:val="single" w:sz="4" w:space="0" w:color="B8C8D0"/>
              <w:right w:val="single" w:sz="4" w:space="0" w:color="B8C8D0"/>
            </w:tcBorders>
            <w:shd w:val="clear" w:color="auto" w:fill="17365D"/>
            <w:vAlign w:val="center"/>
          </w:tcPr>
          <w:p w14:paraId="5EC93A24" w14:textId="77777777" w:rsidR="00C652FC" w:rsidRDefault="00000000">
            <w:pPr>
              <w:spacing w:after="0"/>
              <w:rPr>
                <w:rFonts w:ascii="Calibri" w:hAnsi="Calibri" w:cs="Calibri"/>
              </w:rPr>
            </w:pPr>
            <w:r>
              <w:rPr>
                <w:rFonts w:ascii="Calibri" w:hAnsi="Calibri" w:cs="Calibri"/>
                <w:b/>
                <w:color w:val="FFFFFF"/>
                <w:sz w:val="18"/>
              </w:rPr>
              <w:t>Format</w:t>
            </w:r>
          </w:p>
        </w:tc>
        <w:tc>
          <w:tcPr>
            <w:tcW w:w="3674" w:type="dxa"/>
            <w:tcBorders>
              <w:top w:val="single" w:sz="4" w:space="0" w:color="B8C8D0"/>
              <w:left w:val="single" w:sz="4" w:space="0" w:color="B8C8D0"/>
              <w:bottom w:val="single" w:sz="4" w:space="0" w:color="B8C8D0"/>
              <w:right w:val="single" w:sz="4" w:space="0" w:color="B8C8D0"/>
            </w:tcBorders>
            <w:shd w:val="clear" w:color="auto" w:fill="17365D"/>
            <w:vAlign w:val="center"/>
          </w:tcPr>
          <w:p w14:paraId="68C84E84" w14:textId="77777777" w:rsidR="00C652FC" w:rsidRDefault="00000000">
            <w:pPr>
              <w:spacing w:after="0"/>
              <w:rPr>
                <w:rFonts w:ascii="Calibri" w:hAnsi="Calibri" w:cs="Calibri"/>
              </w:rPr>
            </w:pPr>
            <w:r>
              <w:rPr>
                <w:rFonts w:ascii="Calibri" w:hAnsi="Calibri" w:cs="Calibri"/>
                <w:b/>
                <w:color w:val="FFFFFF"/>
                <w:sz w:val="18"/>
              </w:rPr>
              <w:t>Purpose / intended result</w:t>
            </w:r>
          </w:p>
        </w:tc>
      </w:tr>
      <w:tr w:rsidR="007F5243" w14:paraId="58A33080" w14:textId="77777777" w:rsidTr="005B2AE5">
        <w:trPr>
          <w:cantSplit/>
          <w:jc w:val="center"/>
        </w:trPr>
        <w:tc>
          <w:tcPr>
            <w:tcW w:w="1224" w:type="dxa"/>
            <w:tcBorders>
              <w:top w:val="single" w:sz="4" w:space="0" w:color="B8C8D0"/>
              <w:left w:val="single" w:sz="4" w:space="0" w:color="B8C8D0"/>
              <w:bottom w:val="single" w:sz="4" w:space="0" w:color="B8C8D0"/>
              <w:right w:val="single" w:sz="4" w:space="0" w:color="B8C8D0"/>
            </w:tcBorders>
            <w:shd w:val="clear" w:color="auto" w:fill="D9E6EC"/>
            <w:vAlign w:val="center"/>
          </w:tcPr>
          <w:p w14:paraId="6BAB91A9" w14:textId="77777777" w:rsidR="007F5243" w:rsidRDefault="007F5243" w:rsidP="005B2AE5">
            <w:pPr>
              <w:spacing w:after="0"/>
              <w:rPr>
                <w:rFonts w:ascii="Calibri" w:hAnsi="Calibri" w:cs="Calibri"/>
              </w:rPr>
            </w:pPr>
            <w:r>
              <w:rPr>
                <w:rFonts w:ascii="Calibri" w:hAnsi="Calibri" w:cs="Calibri"/>
                <w:i/>
                <w:color w:val="5C6670"/>
                <w:sz w:val="17"/>
              </w:rPr>
              <w:t>12:30–13:30</w:t>
            </w:r>
          </w:p>
        </w:tc>
        <w:tc>
          <w:tcPr>
            <w:tcW w:w="3167" w:type="dxa"/>
            <w:tcBorders>
              <w:top w:val="single" w:sz="4" w:space="0" w:color="B8C8D0"/>
              <w:left w:val="single" w:sz="4" w:space="0" w:color="B8C8D0"/>
              <w:bottom w:val="single" w:sz="4" w:space="0" w:color="B8C8D0"/>
              <w:right w:val="single" w:sz="4" w:space="0" w:color="B8C8D0"/>
            </w:tcBorders>
            <w:shd w:val="clear" w:color="auto" w:fill="D9E6EC"/>
            <w:vAlign w:val="center"/>
          </w:tcPr>
          <w:p w14:paraId="2FFFF0B7" w14:textId="77777777" w:rsidR="007F5243" w:rsidRDefault="007F5243" w:rsidP="005B2AE5">
            <w:pPr>
              <w:spacing w:after="0"/>
              <w:rPr>
                <w:rFonts w:ascii="Calibri" w:hAnsi="Calibri" w:cs="Calibri"/>
              </w:rPr>
            </w:pPr>
            <w:r>
              <w:rPr>
                <w:rFonts w:ascii="Calibri" w:hAnsi="Calibri" w:cs="Calibri"/>
                <w:i/>
                <w:color w:val="5C6670"/>
                <w:sz w:val="17"/>
              </w:rPr>
              <w:t>Lunch</w:t>
            </w:r>
          </w:p>
        </w:tc>
        <w:tc>
          <w:tcPr>
            <w:tcW w:w="1799" w:type="dxa"/>
            <w:tcBorders>
              <w:top w:val="single" w:sz="4" w:space="0" w:color="B8C8D0"/>
              <w:left w:val="single" w:sz="4" w:space="0" w:color="B8C8D0"/>
              <w:bottom w:val="single" w:sz="4" w:space="0" w:color="B8C8D0"/>
              <w:right w:val="single" w:sz="4" w:space="0" w:color="B8C8D0"/>
            </w:tcBorders>
            <w:shd w:val="clear" w:color="auto" w:fill="D9E6EC"/>
            <w:vAlign w:val="center"/>
          </w:tcPr>
          <w:p w14:paraId="08C26923" w14:textId="77777777" w:rsidR="007F5243" w:rsidRDefault="007F5243" w:rsidP="005B2AE5">
            <w:pPr>
              <w:spacing w:after="0"/>
              <w:rPr>
                <w:rFonts w:ascii="Calibri" w:hAnsi="Calibri" w:cs="Calibri"/>
              </w:rPr>
            </w:pPr>
          </w:p>
        </w:tc>
        <w:tc>
          <w:tcPr>
            <w:tcW w:w="3674" w:type="dxa"/>
            <w:tcBorders>
              <w:top w:val="single" w:sz="4" w:space="0" w:color="B8C8D0"/>
              <w:left w:val="single" w:sz="4" w:space="0" w:color="B8C8D0"/>
              <w:bottom w:val="single" w:sz="4" w:space="0" w:color="B8C8D0"/>
              <w:right w:val="single" w:sz="4" w:space="0" w:color="B8C8D0"/>
            </w:tcBorders>
            <w:shd w:val="clear" w:color="auto" w:fill="D9E6EC"/>
            <w:vAlign w:val="center"/>
          </w:tcPr>
          <w:p w14:paraId="25481039" w14:textId="77777777" w:rsidR="007F5243" w:rsidRDefault="007F5243" w:rsidP="005B2AE5">
            <w:pPr>
              <w:spacing w:after="0"/>
              <w:rPr>
                <w:rFonts w:ascii="Calibri" w:hAnsi="Calibri" w:cs="Calibri"/>
              </w:rPr>
            </w:pPr>
          </w:p>
        </w:tc>
      </w:tr>
      <w:tr w:rsidR="00C652FC" w14:paraId="14A0DA41" w14:textId="77777777" w:rsidTr="007F5243">
        <w:trPr>
          <w:cantSplit/>
          <w:jc w:val="center"/>
        </w:trPr>
        <w:tc>
          <w:tcPr>
            <w:tcW w:w="1224" w:type="dxa"/>
            <w:tcBorders>
              <w:top w:val="single" w:sz="4" w:space="0" w:color="B8C8D0"/>
              <w:left w:val="single" w:sz="4" w:space="0" w:color="B8C8D0"/>
              <w:bottom w:val="single" w:sz="4" w:space="0" w:color="B8C8D0"/>
              <w:right w:val="single" w:sz="4" w:space="0" w:color="B8C8D0"/>
            </w:tcBorders>
            <w:vAlign w:val="center"/>
          </w:tcPr>
          <w:p w14:paraId="2C6157E3" w14:textId="5BE48DE1" w:rsidR="00C652FC" w:rsidRDefault="007F5243">
            <w:pPr>
              <w:spacing w:after="0"/>
              <w:rPr>
                <w:rFonts w:ascii="Calibri" w:hAnsi="Calibri" w:cs="Calibri"/>
              </w:rPr>
            </w:pPr>
            <w:r>
              <w:rPr>
                <w:rFonts w:ascii="Calibri" w:hAnsi="Calibri" w:cs="Calibri"/>
                <w:sz w:val="17"/>
              </w:rPr>
              <w:t>13:30–13:50</w:t>
            </w:r>
          </w:p>
        </w:tc>
        <w:tc>
          <w:tcPr>
            <w:tcW w:w="3167" w:type="dxa"/>
            <w:tcBorders>
              <w:top w:val="single" w:sz="4" w:space="0" w:color="B8C8D0"/>
              <w:left w:val="single" w:sz="4" w:space="0" w:color="B8C8D0"/>
              <w:bottom w:val="single" w:sz="4" w:space="0" w:color="B8C8D0"/>
              <w:right w:val="single" w:sz="4" w:space="0" w:color="B8C8D0"/>
            </w:tcBorders>
            <w:vAlign w:val="center"/>
          </w:tcPr>
          <w:p w14:paraId="2D7561B4" w14:textId="77777777" w:rsidR="00C652FC" w:rsidRDefault="00000000">
            <w:pPr>
              <w:spacing w:after="0"/>
              <w:rPr>
                <w:rFonts w:ascii="Calibri" w:hAnsi="Calibri" w:cs="Calibri"/>
              </w:rPr>
            </w:pPr>
            <w:r>
              <w:rPr>
                <w:rFonts w:ascii="Calibri" w:hAnsi="Calibri" w:cs="Calibri"/>
                <w:sz w:val="17"/>
              </w:rPr>
              <w:t>Welcome, objectives and working rules</w:t>
            </w:r>
          </w:p>
        </w:tc>
        <w:tc>
          <w:tcPr>
            <w:tcW w:w="1799" w:type="dxa"/>
            <w:tcBorders>
              <w:top w:val="single" w:sz="4" w:space="0" w:color="B8C8D0"/>
              <w:left w:val="single" w:sz="4" w:space="0" w:color="B8C8D0"/>
              <w:bottom w:val="single" w:sz="4" w:space="0" w:color="B8C8D0"/>
              <w:right w:val="single" w:sz="4" w:space="0" w:color="B8C8D0"/>
            </w:tcBorders>
            <w:vAlign w:val="center"/>
          </w:tcPr>
          <w:p w14:paraId="0B31FFC0" w14:textId="77777777" w:rsidR="00C652FC" w:rsidRDefault="00000000">
            <w:pPr>
              <w:spacing w:after="0"/>
              <w:rPr>
                <w:rFonts w:ascii="Calibri" w:hAnsi="Calibri" w:cs="Calibri"/>
              </w:rPr>
            </w:pPr>
            <w:r>
              <w:rPr>
                <w:rFonts w:ascii="Calibri" w:hAnsi="Calibri" w:cs="Calibri"/>
                <w:sz w:val="17"/>
              </w:rPr>
              <w:t>Plenary</w:t>
            </w:r>
          </w:p>
        </w:tc>
        <w:tc>
          <w:tcPr>
            <w:tcW w:w="3674" w:type="dxa"/>
            <w:tcBorders>
              <w:top w:val="single" w:sz="4" w:space="0" w:color="B8C8D0"/>
              <w:left w:val="single" w:sz="4" w:space="0" w:color="B8C8D0"/>
              <w:bottom w:val="single" w:sz="4" w:space="0" w:color="B8C8D0"/>
              <w:right w:val="single" w:sz="4" w:space="0" w:color="B8C8D0"/>
            </w:tcBorders>
            <w:vAlign w:val="center"/>
          </w:tcPr>
          <w:p w14:paraId="182D158F" w14:textId="77777777" w:rsidR="00C652FC" w:rsidRDefault="00000000">
            <w:pPr>
              <w:spacing w:after="0"/>
              <w:rPr>
                <w:rFonts w:ascii="Calibri" w:hAnsi="Calibri" w:cs="Calibri"/>
              </w:rPr>
            </w:pPr>
            <w:r>
              <w:rPr>
                <w:rFonts w:ascii="Calibri" w:hAnsi="Calibri" w:cs="Calibri"/>
                <w:sz w:val="17"/>
              </w:rPr>
              <w:t>Confirm scope, terminology, outputs, information rules and decision process.</w:t>
            </w:r>
          </w:p>
        </w:tc>
      </w:tr>
      <w:tr w:rsidR="00C652FC" w14:paraId="355B860E" w14:textId="77777777" w:rsidTr="007F5243">
        <w:trPr>
          <w:cantSplit/>
          <w:jc w:val="center"/>
        </w:trPr>
        <w:tc>
          <w:tcPr>
            <w:tcW w:w="1224" w:type="dxa"/>
            <w:tcBorders>
              <w:top w:val="single" w:sz="4" w:space="0" w:color="B8C8D0"/>
              <w:left w:val="single" w:sz="4" w:space="0" w:color="B8C8D0"/>
              <w:bottom w:val="single" w:sz="4" w:space="0" w:color="B8C8D0"/>
              <w:right w:val="single" w:sz="4" w:space="0" w:color="B8C8D0"/>
            </w:tcBorders>
            <w:shd w:val="clear" w:color="auto" w:fill="F4F7F8"/>
            <w:vAlign w:val="center"/>
          </w:tcPr>
          <w:p w14:paraId="79E1B824" w14:textId="4F97B89E" w:rsidR="00C652FC" w:rsidRDefault="007F5243">
            <w:pPr>
              <w:spacing w:after="0"/>
              <w:rPr>
                <w:rFonts w:ascii="Calibri" w:hAnsi="Calibri" w:cs="Calibri"/>
              </w:rPr>
            </w:pPr>
            <w:r>
              <w:rPr>
                <w:rFonts w:ascii="Calibri" w:hAnsi="Calibri" w:cs="Calibri"/>
                <w:sz w:val="17"/>
              </w:rPr>
              <w:t>13:</w:t>
            </w:r>
            <w:r w:rsidR="00970CDD">
              <w:rPr>
                <w:rFonts w:ascii="Calibri" w:hAnsi="Calibri" w:cs="Calibri"/>
                <w:sz w:val="17"/>
              </w:rPr>
              <w:t>5</w:t>
            </w:r>
            <w:r>
              <w:rPr>
                <w:rFonts w:ascii="Calibri" w:hAnsi="Calibri" w:cs="Calibri"/>
                <w:sz w:val="17"/>
              </w:rPr>
              <w:t>0–14:30</w:t>
            </w:r>
          </w:p>
        </w:tc>
        <w:tc>
          <w:tcPr>
            <w:tcW w:w="3167" w:type="dxa"/>
            <w:tcBorders>
              <w:top w:val="single" w:sz="4" w:space="0" w:color="B8C8D0"/>
              <w:left w:val="single" w:sz="4" w:space="0" w:color="B8C8D0"/>
              <w:bottom w:val="single" w:sz="4" w:space="0" w:color="B8C8D0"/>
              <w:right w:val="single" w:sz="4" w:space="0" w:color="B8C8D0"/>
            </w:tcBorders>
            <w:shd w:val="clear" w:color="auto" w:fill="F4F7F8"/>
            <w:vAlign w:val="center"/>
          </w:tcPr>
          <w:p w14:paraId="636236AF" w14:textId="77777777" w:rsidR="00C652FC" w:rsidRDefault="00000000">
            <w:pPr>
              <w:spacing w:after="0"/>
              <w:rPr>
                <w:rFonts w:ascii="Calibri" w:hAnsi="Calibri" w:cs="Calibri"/>
              </w:rPr>
            </w:pPr>
            <w:r>
              <w:rPr>
                <w:rFonts w:ascii="Calibri" w:hAnsi="Calibri" w:cs="Calibri"/>
                <w:sz w:val="17"/>
              </w:rPr>
              <w:t>From experimental diagnostics to reactor-grade measurement capability</w:t>
            </w:r>
          </w:p>
        </w:tc>
        <w:tc>
          <w:tcPr>
            <w:tcW w:w="1799" w:type="dxa"/>
            <w:tcBorders>
              <w:top w:val="single" w:sz="4" w:space="0" w:color="B8C8D0"/>
              <w:left w:val="single" w:sz="4" w:space="0" w:color="B8C8D0"/>
              <w:bottom w:val="single" w:sz="4" w:space="0" w:color="B8C8D0"/>
              <w:right w:val="single" w:sz="4" w:space="0" w:color="B8C8D0"/>
            </w:tcBorders>
            <w:shd w:val="clear" w:color="auto" w:fill="F4F7F8"/>
            <w:vAlign w:val="center"/>
          </w:tcPr>
          <w:p w14:paraId="49D8D049" w14:textId="77777777" w:rsidR="00C652FC" w:rsidRDefault="00000000">
            <w:pPr>
              <w:spacing w:after="0"/>
              <w:rPr>
                <w:rFonts w:ascii="Calibri" w:hAnsi="Calibri" w:cs="Calibri"/>
              </w:rPr>
            </w:pPr>
            <w:r>
              <w:rPr>
                <w:rFonts w:ascii="Calibri" w:hAnsi="Calibri" w:cs="Calibri"/>
                <w:sz w:val="17"/>
              </w:rPr>
              <w:t>2–3 short inputs + discussion</w:t>
            </w:r>
          </w:p>
        </w:tc>
        <w:tc>
          <w:tcPr>
            <w:tcW w:w="3674" w:type="dxa"/>
            <w:tcBorders>
              <w:top w:val="single" w:sz="4" w:space="0" w:color="B8C8D0"/>
              <w:left w:val="single" w:sz="4" w:space="0" w:color="B8C8D0"/>
              <w:bottom w:val="single" w:sz="4" w:space="0" w:color="B8C8D0"/>
              <w:right w:val="single" w:sz="4" w:space="0" w:color="B8C8D0"/>
            </w:tcBorders>
            <w:shd w:val="clear" w:color="auto" w:fill="F4F7F8"/>
            <w:vAlign w:val="center"/>
          </w:tcPr>
          <w:p w14:paraId="1DBB4BE6" w14:textId="77777777" w:rsidR="00C652FC" w:rsidRDefault="00000000">
            <w:pPr>
              <w:spacing w:after="0"/>
              <w:rPr>
                <w:rFonts w:ascii="Calibri" w:hAnsi="Calibri" w:cs="Calibri"/>
              </w:rPr>
            </w:pPr>
            <w:r>
              <w:rPr>
                <w:rFonts w:ascii="Calibri" w:hAnsi="Calibri" w:cs="Calibri"/>
                <w:sz w:val="17"/>
              </w:rPr>
              <w:t>Establish a common definition of reactor-grade capability and the evidence required for deployment.</w:t>
            </w:r>
          </w:p>
        </w:tc>
      </w:tr>
      <w:tr w:rsidR="00C652FC" w14:paraId="43B0BD6B" w14:textId="77777777" w:rsidTr="007F5243">
        <w:trPr>
          <w:cantSplit/>
          <w:jc w:val="center"/>
        </w:trPr>
        <w:tc>
          <w:tcPr>
            <w:tcW w:w="1224" w:type="dxa"/>
            <w:tcBorders>
              <w:top w:val="single" w:sz="4" w:space="0" w:color="B8C8D0"/>
              <w:left w:val="single" w:sz="4" w:space="0" w:color="B8C8D0"/>
              <w:bottom w:val="single" w:sz="4" w:space="0" w:color="B8C8D0"/>
              <w:right w:val="single" w:sz="4" w:space="0" w:color="B8C8D0"/>
            </w:tcBorders>
            <w:vAlign w:val="center"/>
          </w:tcPr>
          <w:p w14:paraId="13329637" w14:textId="61E0E48C" w:rsidR="00C652FC" w:rsidRDefault="000E330B">
            <w:pPr>
              <w:spacing w:after="0"/>
              <w:rPr>
                <w:rFonts w:ascii="Calibri" w:hAnsi="Calibri" w:cs="Calibri"/>
              </w:rPr>
            </w:pPr>
            <w:r>
              <w:rPr>
                <w:rFonts w:ascii="Calibri" w:hAnsi="Calibri" w:cs="Calibri"/>
                <w:sz w:val="17"/>
              </w:rPr>
              <w:t>14:30–15:00</w:t>
            </w:r>
          </w:p>
        </w:tc>
        <w:tc>
          <w:tcPr>
            <w:tcW w:w="3167" w:type="dxa"/>
            <w:tcBorders>
              <w:top w:val="single" w:sz="4" w:space="0" w:color="B8C8D0"/>
              <w:left w:val="single" w:sz="4" w:space="0" w:color="B8C8D0"/>
              <w:bottom w:val="single" w:sz="4" w:space="0" w:color="B8C8D0"/>
              <w:right w:val="single" w:sz="4" w:space="0" w:color="B8C8D0"/>
            </w:tcBorders>
            <w:vAlign w:val="center"/>
          </w:tcPr>
          <w:p w14:paraId="16B96844" w14:textId="77777777" w:rsidR="00C652FC" w:rsidRDefault="00000000">
            <w:pPr>
              <w:spacing w:after="0"/>
              <w:rPr>
                <w:rFonts w:ascii="Calibri" w:hAnsi="Calibri" w:cs="Calibri"/>
              </w:rPr>
            </w:pPr>
            <w:r>
              <w:rPr>
                <w:rFonts w:ascii="Calibri" w:hAnsi="Calibri" w:cs="Calibri"/>
                <w:sz w:val="17"/>
              </w:rPr>
              <w:t>Plant-developer challenge statements</w:t>
            </w:r>
          </w:p>
        </w:tc>
        <w:tc>
          <w:tcPr>
            <w:tcW w:w="1799" w:type="dxa"/>
            <w:tcBorders>
              <w:top w:val="single" w:sz="4" w:space="0" w:color="B8C8D0"/>
              <w:left w:val="single" w:sz="4" w:space="0" w:color="B8C8D0"/>
              <w:bottom w:val="single" w:sz="4" w:space="0" w:color="B8C8D0"/>
              <w:right w:val="single" w:sz="4" w:space="0" w:color="B8C8D0"/>
            </w:tcBorders>
            <w:vAlign w:val="center"/>
          </w:tcPr>
          <w:p w14:paraId="61E1B997" w14:textId="77777777" w:rsidR="00C652FC" w:rsidRDefault="00000000">
            <w:pPr>
              <w:spacing w:after="0"/>
              <w:rPr>
                <w:rFonts w:ascii="Calibri" w:hAnsi="Calibri" w:cs="Calibri"/>
              </w:rPr>
            </w:pPr>
            <w:r>
              <w:rPr>
                <w:rFonts w:ascii="Calibri" w:hAnsi="Calibri" w:cs="Calibri"/>
                <w:sz w:val="17"/>
              </w:rPr>
              <w:t>Short structured pitches</w:t>
            </w:r>
          </w:p>
        </w:tc>
        <w:tc>
          <w:tcPr>
            <w:tcW w:w="3674" w:type="dxa"/>
            <w:tcBorders>
              <w:top w:val="single" w:sz="4" w:space="0" w:color="B8C8D0"/>
              <w:left w:val="single" w:sz="4" w:space="0" w:color="B8C8D0"/>
              <w:bottom w:val="single" w:sz="4" w:space="0" w:color="B8C8D0"/>
              <w:right w:val="single" w:sz="4" w:space="0" w:color="B8C8D0"/>
            </w:tcBorders>
            <w:vAlign w:val="center"/>
          </w:tcPr>
          <w:p w14:paraId="2B99BB3C" w14:textId="77777777" w:rsidR="00C652FC" w:rsidRDefault="00000000">
            <w:pPr>
              <w:spacing w:after="0"/>
              <w:rPr>
                <w:rFonts w:ascii="Calibri" w:hAnsi="Calibri" w:cs="Calibri"/>
              </w:rPr>
            </w:pPr>
            <w:r>
              <w:rPr>
                <w:rFonts w:ascii="Calibri" w:hAnsi="Calibri" w:cs="Calibri"/>
                <w:sz w:val="17"/>
              </w:rPr>
              <w:t>Identify high-priority measurement needs, difficult environments and unresolved capability gaps.</w:t>
            </w:r>
          </w:p>
        </w:tc>
      </w:tr>
      <w:tr w:rsidR="00C652FC" w14:paraId="768B6869" w14:textId="77777777" w:rsidTr="007F5243">
        <w:trPr>
          <w:cantSplit/>
          <w:jc w:val="center"/>
        </w:trPr>
        <w:tc>
          <w:tcPr>
            <w:tcW w:w="1224" w:type="dxa"/>
            <w:tcBorders>
              <w:top w:val="single" w:sz="4" w:space="0" w:color="B8C8D0"/>
              <w:left w:val="single" w:sz="4" w:space="0" w:color="B8C8D0"/>
              <w:bottom w:val="single" w:sz="4" w:space="0" w:color="B8C8D0"/>
              <w:right w:val="single" w:sz="4" w:space="0" w:color="B8C8D0"/>
            </w:tcBorders>
            <w:shd w:val="clear" w:color="auto" w:fill="D9E6EC"/>
            <w:vAlign w:val="center"/>
          </w:tcPr>
          <w:p w14:paraId="6E5F9CCB" w14:textId="47BE9D46" w:rsidR="00C652FC" w:rsidRDefault="000E330B">
            <w:pPr>
              <w:spacing w:after="0"/>
              <w:rPr>
                <w:rFonts w:ascii="Calibri" w:hAnsi="Calibri" w:cs="Calibri"/>
              </w:rPr>
            </w:pPr>
            <w:r>
              <w:rPr>
                <w:rFonts w:ascii="Calibri" w:hAnsi="Calibri" w:cs="Calibri"/>
                <w:i/>
                <w:color w:val="5C6670"/>
                <w:sz w:val="17"/>
              </w:rPr>
              <w:t>15:00–15:20</w:t>
            </w:r>
          </w:p>
        </w:tc>
        <w:tc>
          <w:tcPr>
            <w:tcW w:w="3167" w:type="dxa"/>
            <w:tcBorders>
              <w:top w:val="single" w:sz="4" w:space="0" w:color="B8C8D0"/>
              <w:left w:val="single" w:sz="4" w:space="0" w:color="B8C8D0"/>
              <w:bottom w:val="single" w:sz="4" w:space="0" w:color="B8C8D0"/>
              <w:right w:val="single" w:sz="4" w:space="0" w:color="B8C8D0"/>
            </w:tcBorders>
            <w:shd w:val="clear" w:color="auto" w:fill="D9E6EC"/>
            <w:vAlign w:val="center"/>
          </w:tcPr>
          <w:p w14:paraId="650EF94D" w14:textId="77777777" w:rsidR="00C652FC" w:rsidRDefault="00000000">
            <w:pPr>
              <w:spacing w:after="0"/>
              <w:rPr>
                <w:rFonts w:ascii="Calibri" w:hAnsi="Calibri" w:cs="Calibri"/>
              </w:rPr>
            </w:pPr>
            <w:r>
              <w:rPr>
                <w:rFonts w:ascii="Calibri" w:hAnsi="Calibri" w:cs="Calibri"/>
                <w:i/>
                <w:color w:val="5C6670"/>
                <w:sz w:val="17"/>
              </w:rPr>
              <w:t>Coffee break</w:t>
            </w:r>
          </w:p>
        </w:tc>
        <w:tc>
          <w:tcPr>
            <w:tcW w:w="1799" w:type="dxa"/>
            <w:tcBorders>
              <w:top w:val="single" w:sz="4" w:space="0" w:color="B8C8D0"/>
              <w:left w:val="single" w:sz="4" w:space="0" w:color="B8C8D0"/>
              <w:bottom w:val="single" w:sz="4" w:space="0" w:color="B8C8D0"/>
              <w:right w:val="single" w:sz="4" w:space="0" w:color="B8C8D0"/>
            </w:tcBorders>
            <w:shd w:val="clear" w:color="auto" w:fill="D9E6EC"/>
            <w:vAlign w:val="center"/>
          </w:tcPr>
          <w:p w14:paraId="0A7EEBD9" w14:textId="77777777" w:rsidR="00C652FC" w:rsidRDefault="00C652FC">
            <w:pPr>
              <w:spacing w:after="0"/>
              <w:rPr>
                <w:rFonts w:ascii="Calibri" w:hAnsi="Calibri" w:cs="Calibri"/>
              </w:rPr>
            </w:pPr>
          </w:p>
        </w:tc>
        <w:tc>
          <w:tcPr>
            <w:tcW w:w="3674" w:type="dxa"/>
            <w:tcBorders>
              <w:top w:val="single" w:sz="4" w:space="0" w:color="B8C8D0"/>
              <w:left w:val="single" w:sz="4" w:space="0" w:color="B8C8D0"/>
              <w:bottom w:val="single" w:sz="4" w:space="0" w:color="B8C8D0"/>
              <w:right w:val="single" w:sz="4" w:space="0" w:color="B8C8D0"/>
            </w:tcBorders>
            <w:shd w:val="clear" w:color="auto" w:fill="D9E6EC"/>
            <w:vAlign w:val="center"/>
          </w:tcPr>
          <w:p w14:paraId="422A9463" w14:textId="77777777" w:rsidR="00C652FC" w:rsidRDefault="00C652FC">
            <w:pPr>
              <w:spacing w:after="0"/>
              <w:rPr>
                <w:rFonts w:ascii="Calibri" w:hAnsi="Calibri" w:cs="Calibri"/>
              </w:rPr>
            </w:pPr>
          </w:p>
        </w:tc>
      </w:tr>
      <w:tr w:rsidR="00C652FC" w14:paraId="0CCDB8F1" w14:textId="77777777" w:rsidTr="007F5243">
        <w:trPr>
          <w:cantSplit/>
          <w:jc w:val="center"/>
        </w:trPr>
        <w:tc>
          <w:tcPr>
            <w:tcW w:w="1224" w:type="dxa"/>
            <w:tcBorders>
              <w:top w:val="single" w:sz="4" w:space="0" w:color="B8C8D0"/>
              <w:left w:val="single" w:sz="4" w:space="0" w:color="B8C8D0"/>
              <w:bottom w:val="single" w:sz="4" w:space="0" w:color="B8C8D0"/>
              <w:right w:val="single" w:sz="4" w:space="0" w:color="B8C8D0"/>
            </w:tcBorders>
            <w:vAlign w:val="center"/>
          </w:tcPr>
          <w:p w14:paraId="5D318B2A" w14:textId="05DC8982" w:rsidR="00C652FC" w:rsidRDefault="000E2D91">
            <w:pPr>
              <w:spacing w:after="0"/>
              <w:rPr>
                <w:rFonts w:ascii="Calibri" w:hAnsi="Calibri" w:cs="Calibri"/>
              </w:rPr>
            </w:pPr>
            <w:r>
              <w:rPr>
                <w:rFonts w:ascii="Calibri" w:hAnsi="Calibri" w:cs="Calibri"/>
                <w:sz w:val="17"/>
              </w:rPr>
              <w:t>15:20–17:00</w:t>
            </w:r>
          </w:p>
        </w:tc>
        <w:tc>
          <w:tcPr>
            <w:tcW w:w="3167" w:type="dxa"/>
            <w:tcBorders>
              <w:top w:val="single" w:sz="4" w:space="0" w:color="B8C8D0"/>
              <w:left w:val="single" w:sz="4" w:space="0" w:color="B8C8D0"/>
              <w:bottom w:val="single" w:sz="4" w:space="0" w:color="B8C8D0"/>
              <w:right w:val="single" w:sz="4" w:space="0" w:color="B8C8D0"/>
            </w:tcBorders>
            <w:vAlign w:val="center"/>
          </w:tcPr>
          <w:p w14:paraId="50B4B03C" w14:textId="5FE702FC" w:rsidR="00C652FC" w:rsidRDefault="00000000">
            <w:pPr>
              <w:spacing w:after="0"/>
              <w:rPr>
                <w:rFonts w:ascii="Calibri" w:hAnsi="Calibri" w:cs="Calibri"/>
              </w:rPr>
            </w:pPr>
            <w:r>
              <w:rPr>
                <w:rFonts w:ascii="Calibri" w:hAnsi="Calibri" w:cs="Calibri"/>
                <w:sz w:val="17"/>
              </w:rPr>
              <w:t xml:space="preserve">Focus Session 1: What </w:t>
            </w:r>
            <w:r w:rsidR="005067DA">
              <w:rPr>
                <w:rFonts w:ascii="Calibri" w:hAnsi="Calibri" w:cs="Calibri"/>
                <w:sz w:val="17"/>
              </w:rPr>
              <w:t>does a fusion power plan</w:t>
            </w:r>
            <w:r w:rsidR="005A2A12">
              <w:rPr>
                <w:rFonts w:ascii="Calibri" w:hAnsi="Calibri" w:cs="Calibri"/>
                <w:sz w:val="17"/>
              </w:rPr>
              <w:t>t need to know, and why?</w:t>
            </w:r>
          </w:p>
        </w:tc>
        <w:tc>
          <w:tcPr>
            <w:tcW w:w="1799" w:type="dxa"/>
            <w:tcBorders>
              <w:top w:val="single" w:sz="4" w:space="0" w:color="B8C8D0"/>
              <w:left w:val="single" w:sz="4" w:space="0" w:color="B8C8D0"/>
              <w:bottom w:val="single" w:sz="4" w:space="0" w:color="B8C8D0"/>
              <w:right w:val="single" w:sz="4" w:space="0" w:color="B8C8D0"/>
            </w:tcBorders>
            <w:vAlign w:val="center"/>
          </w:tcPr>
          <w:p w14:paraId="3ED9CFCE" w14:textId="77777777" w:rsidR="00C652FC" w:rsidRDefault="00000000">
            <w:pPr>
              <w:spacing w:after="0"/>
              <w:rPr>
                <w:rFonts w:ascii="Calibri" w:hAnsi="Calibri" w:cs="Calibri"/>
              </w:rPr>
            </w:pPr>
            <w:r>
              <w:rPr>
                <w:rFonts w:ascii="Calibri" w:hAnsi="Calibri" w:cs="Calibri"/>
                <w:sz w:val="17"/>
              </w:rPr>
              <w:t>Focus groups + report-back</w:t>
            </w:r>
          </w:p>
        </w:tc>
        <w:tc>
          <w:tcPr>
            <w:tcW w:w="3674" w:type="dxa"/>
            <w:tcBorders>
              <w:top w:val="single" w:sz="4" w:space="0" w:color="B8C8D0"/>
              <w:left w:val="single" w:sz="4" w:space="0" w:color="B8C8D0"/>
              <w:bottom w:val="single" w:sz="4" w:space="0" w:color="B8C8D0"/>
              <w:right w:val="single" w:sz="4" w:space="0" w:color="B8C8D0"/>
            </w:tcBorders>
            <w:vAlign w:val="center"/>
          </w:tcPr>
          <w:p w14:paraId="4505DBCA" w14:textId="77777777" w:rsidR="00C652FC" w:rsidRDefault="00000000">
            <w:pPr>
              <w:spacing w:after="0"/>
              <w:rPr>
                <w:rFonts w:ascii="Calibri" w:hAnsi="Calibri" w:cs="Calibri"/>
              </w:rPr>
            </w:pPr>
            <w:r>
              <w:rPr>
                <w:rFonts w:ascii="Calibri" w:hAnsi="Calibri" w:cs="Calibri"/>
                <w:sz w:val="17"/>
              </w:rPr>
              <w:t>Define plant functions, operating states, decisions and required information; identify common and concept-specific capabilities.</w:t>
            </w:r>
          </w:p>
        </w:tc>
      </w:tr>
      <w:tr w:rsidR="00C652FC" w14:paraId="6AFB533F" w14:textId="77777777" w:rsidTr="007F5243">
        <w:trPr>
          <w:cantSplit/>
          <w:jc w:val="center"/>
        </w:trPr>
        <w:tc>
          <w:tcPr>
            <w:tcW w:w="1224" w:type="dxa"/>
            <w:tcBorders>
              <w:top w:val="single" w:sz="4" w:space="0" w:color="B8C8D0"/>
              <w:left w:val="single" w:sz="4" w:space="0" w:color="B8C8D0"/>
              <w:bottom w:val="single" w:sz="4" w:space="0" w:color="B8C8D0"/>
              <w:right w:val="single" w:sz="4" w:space="0" w:color="B8C8D0"/>
            </w:tcBorders>
            <w:vAlign w:val="center"/>
          </w:tcPr>
          <w:p w14:paraId="27F21BCB" w14:textId="45CAEA00" w:rsidR="00C652FC" w:rsidRDefault="000E2D91">
            <w:pPr>
              <w:spacing w:after="0"/>
              <w:rPr>
                <w:rFonts w:ascii="Calibri" w:hAnsi="Calibri" w:cs="Calibri"/>
              </w:rPr>
            </w:pPr>
            <w:r>
              <w:rPr>
                <w:rFonts w:ascii="Calibri" w:hAnsi="Calibri" w:cs="Calibri"/>
                <w:sz w:val="17"/>
              </w:rPr>
              <w:t>17:00-17:30</w:t>
            </w:r>
          </w:p>
        </w:tc>
        <w:tc>
          <w:tcPr>
            <w:tcW w:w="3167" w:type="dxa"/>
            <w:tcBorders>
              <w:top w:val="single" w:sz="4" w:space="0" w:color="B8C8D0"/>
              <w:left w:val="single" w:sz="4" w:space="0" w:color="B8C8D0"/>
              <w:bottom w:val="single" w:sz="4" w:space="0" w:color="B8C8D0"/>
              <w:right w:val="single" w:sz="4" w:space="0" w:color="B8C8D0"/>
            </w:tcBorders>
            <w:vAlign w:val="center"/>
          </w:tcPr>
          <w:p w14:paraId="0E20F74B" w14:textId="77777777" w:rsidR="00C652FC" w:rsidRDefault="00000000">
            <w:pPr>
              <w:spacing w:after="0"/>
            </w:pPr>
            <w:r>
              <w:rPr>
                <w:rFonts w:ascii="Calibri" w:hAnsi="Calibri" w:cs="Calibri"/>
                <w:sz w:val="17"/>
              </w:rPr>
              <w:t>Existing evidence and recommendations</w:t>
            </w:r>
          </w:p>
        </w:tc>
        <w:tc>
          <w:tcPr>
            <w:tcW w:w="1799" w:type="dxa"/>
            <w:tcBorders>
              <w:top w:val="single" w:sz="4" w:space="0" w:color="B8C8D0"/>
              <w:left w:val="single" w:sz="4" w:space="0" w:color="B8C8D0"/>
              <w:bottom w:val="single" w:sz="4" w:space="0" w:color="B8C8D0"/>
              <w:right w:val="single" w:sz="4" w:space="0" w:color="B8C8D0"/>
            </w:tcBorders>
            <w:vAlign w:val="center"/>
          </w:tcPr>
          <w:p w14:paraId="21BBA2BC" w14:textId="77777777" w:rsidR="00C652FC" w:rsidRDefault="00000000">
            <w:pPr>
              <w:spacing w:after="0"/>
              <w:rPr>
                <w:rFonts w:ascii="Calibri" w:hAnsi="Calibri" w:cs="Calibri"/>
              </w:rPr>
            </w:pPr>
            <w:r>
              <w:rPr>
                <w:rFonts w:ascii="Calibri" w:hAnsi="Calibri" w:cs="Calibri"/>
                <w:sz w:val="17"/>
              </w:rPr>
              <w:t>1–2 short inputs</w:t>
            </w:r>
          </w:p>
        </w:tc>
        <w:tc>
          <w:tcPr>
            <w:tcW w:w="3674" w:type="dxa"/>
            <w:tcBorders>
              <w:top w:val="single" w:sz="4" w:space="0" w:color="B8C8D0"/>
              <w:left w:val="single" w:sz="4" w:space="0" w:color="B8C8D0"/>
              <w:bottom w:val="single" w:sz="4" w:space="0" w:color="B8C8D0"/>
              <w:right w:val="single" w:sz="4" w:space="0" w:color="B8C8D0"/>
            </w:tcBorders>
            <w:vAlign w:val="center"/>
          </w:tcPr>
          <w:p w14:paraId="365EB966" w14:textId="77777777" w:rsidR="00C652FC" w:rsidRDefault="00000000">
            <w:pPr>
              <w:spacing w:after="0"/>
              <w:rPr>
                <w:rFonts w:ascii="Calibri" w:hAnsi="Calibri" w:cs="Calibri"/>
              </w:rPr>
            </w:pPr>
            <w:r>
              <w:rPr>
                <w:rFonts w:ascii="Calibri" w:hAnsi="Calibri" w:cs="Calibri"/>
                <w:sz w:val="17"/>
              </w:rPr>
              <w:t>Identify what can be adopted from existing DOE, UK and other work and what remains unresolved.</w:t>
            </w:r>
          </w:p>
        </w:tc>
      </w:tr>
      <w:tr w:rsidR="0052469D" w14:paraId="50608C32" w14:textId="77777777" w:rsidTr="007F5243">
        <w:trPr>
          <w:cantSplit/>
          <w:jc w:val="center"/>
        </w:trPr>
        <w:tc>
          <w:tcPr>
            <w:tcW w:w="1224" w:type="dxa"/>
            <w:tcBorders>
              <w:top w:val="single" w:sz="4" w:space="0" w:color="B8C8D0"/>
              <w:left w:val="single" w:sz="4" w:space="0" w:color="B8C8D0"/>
              <w:bottom w:val="single" w:sz="4" w:space="0" w:color="B8C8D0"/>
              <w:right w:val="single" w:sz="4" w:space="0" w:color="B8C8D0"/>
            </w:tcBorders>
            <w:vAlign w:val="center"/>
          </w:tcPr>
          <w:p w14:paraId="05665131" w14:textId="15D4B875" w:rsidR="0052469D" w:rsidRDefault="0052469D" w:rsidP="0052469D">
            <w:pPr>
              <w:spacing w:after="0"/>
              <w:rPr>
                <w:rFonts w:ascii="Calibri" w:hAnsi="Calibri" w:cs="Calibri"/>
                <w:sz w:val="17"/>
              </w:rPr>
            </w:pPr>
            <w:r>
              <w:rPr>
                <w:rFonts w:ascii="Calibri" w:hAnsi="Calibri" w:cs="Calibri"/>
                <w:sz w:val="17"/>
              </w:rPr>
              <w:t>17:30-18:00</w:t>
            </w:r>
          </w:p>
        </w:tc>
        <w:tc>
          <w:tcPr>
            <w:tcW w:w="3167" w:type="dxa"/>
            <w:tcBorders>
              <w:top w:val="single" w:sz="4" w:space="0" w:color="B8C8D0"/>
              <w:left w:val="single" w:sz="4" w:space="0" w:color="B8C8D0"/>
              <w:bottom w:val="single" w:sz="4" w:space="0" w:color="B8C8D0"/>
              <w:right w:val="single" w:sz="4" w:space="0" w:color="B8C8D0"/>
            </w:tcBorders>
            <w:vAlign w:val="center"/>
          </w:tcPr>
          <w:p w14:paraId="41457DE5" w14:textId="2BD5DFF0" w:rsidR="0052469D" w:rsidRDefault="0052469D" w:rsidP="0052469D">
            <w:pPr>
              <w:spacing w:after="0"/>
              <w:rPr>
                <w:rFonts w:ascii="Calibri" w:hAnsi="Calibri" w:cs="Calibri"/>
                <w:sz w:val="17"/>
              </w:rPr>
            </w:pPr>
            <w:r>
              <w:rPr>
                <w:rFonts w:ascii="Calibri" w:hAnsi="Calibri" w:cs="Calibri"/>
                <w:sz w:val="17"/>
              </w:rPr>
              <w:t>Day 1 synthesis</w:t>
            </w:r>
          </w:p>
        </w:tc>
        <w:tc>
          <w:tcPr>
            <w:tcW w:w="1799" w:type="dxa"/>
            <w:tcBorders>
              <w:top w:val="single" w:sz="4" w:space="0" w:color="B8C8D0"/>
              <w:left w:val="single" w:sz="4" w:space="0" w:color="B8C8D0"/>
              <w:bottom w:val="single" w:sz="4" w:space="0" w:color="B8C8D0"/>
              <w:right w:val="single" w:sz="4" w:space="0" w:color="B8C8D0"/>
            </w:tcBorders>
            <w:vAlign w:val="center"/>
          </w:tcPr>
          <w:p w14:paraId="21FBA3C4" w14:textId="46FCC6EA" w:rsidR="0052469D" w:rsidRDefault="0052469D" w:rsidP="0052469D">
            <w:pPr>
              <w:spacing w:after="0"/>
              <w:rPr>
                <w:rFonts w:ascii="Calibri" w:hAnsi="Calibri" w:cs="Calibri"/>
                <w:sz w:val="17"/>
              </w:rPr>
            </w:pPr>
            <w:r>
              <w:rPr>
                <w:rFonts w:ascii="Calibri" w:hAnsi="Calibri" w:cs="Calibri"/>
                <w:sz w:val="17"/>
              </w:rPr>
              <w:t>Decision session</w:t>
            </w:r>
          </w:p>
        </w:tc>
        <w:tc>
          <w:tcPr>
            <w:tcW w:w="3674" w:type="dxa"/>
            <w:tcBorders>
              <w:top w:val="single" w:sz="4" w:space="0" w:color="B8C8D0"/>
              <w:left w:val="single" w:sz="4" w:space="0" w:color="B8C8D0"/>
              <w:bottom w:val="single" w:sz="4" w:space="0" w:color="B8C8D0"/>
              <w:right w:val="single" w:sz="4" w:space="0" w:color="B8C8D0"/>
            </w:tcBorders>
            <w:vAlign w:val="center"/>
          </w:tcPr>
          <w:p w14:paraId="4DC66D6B" w14:textId="6A67E459" w:rsidR="0052469D" w:rsidRDefault="0052469D" w:rsidP="0052469D">
            <w:pPr>
              <w:spacing w:after="0"/>
              <w:rPr>
                <w:rFonts w:ascii="Calibri" w:hAnsi="Calibri" w:cs="Calibri"/>
                <w:sz w:val="17"/>
              </w:rPr>
            </w:pPr>
            <w:r>
              <w:rPr>
                <w:rFonts w:ascii="Calibri" w:hAnsi="Calibri" w:cs="Calibri"/>
                <w:sz w:val="17"/>
              </w:rPr>
              <w:t>Confirm the initial capability map, major differences among concepts and questions carried into Day 2.</w:t>
            </w:r>
          </w:p>
        </w:tc>
      </w:tr>
    </w:tbl>
    <w:p w14:paraId="6AA9F325" w14:textId="77777777" w:rsidR="00C652FC" w:rsidRDefault="00C652FC">
      <w:pPr>
        <w:spacing w:after="0"/>
        <w:rPr>
          <w:rFonts w:ascii="Calibri" w:hAnsi="Calibri" w:cs="Calibri"/>
        </w:rPr>
      </w:pPr>
    </w:p>
    <w:p w14:paraId="14E1BD11" w14:textId="3B3C89B6" w:rsidR="00C652FC" w:rsidRDefault="00000000">
      <w:pPr>
        <w:pStyle w:val="Ttulo1"/>
      </w:pPr>
      <w:r>
        <w:rPr>
          <w:rFonts w:cs="Calibri"/>
        </w:rPr>
        <w:t xml:space="preserve">Day 2 — </w:t>
      </w:r>
      <w:r w:rsidR="005A2A12">
        <w:rPr>
          <w:rFonts w:cs="Calibri"/>
          <w:lang w:val="en-GB"/>
        </w:rPr>
        <w:t>Defining reactor-grade capability</w:t>
      </w:r>
    </w:p>
    <w:tbl>
      <w:tblPr>
        <w:tblW w:w="9864" w:type="dxa"/>
        <w:jc w:val="center"/>
        <w:tblCellMar>
          <w:top w:w="90" w:type="dxa"/>
          <w:left w:w="110" w:type="dxa"/>
          <w:bottom w:w="90" w:type="dxa"/>
          <w:right w:w="110" w:type="dxa"/>
        </w:tblCellMar>
        <w:tblLook w:val="04A0" w:firstRow="1" w:lastRow="0" w:firstColumn="1" w:lastColumn="0" w:noHBand="0" w:noVBand="1"/>
      </w:tblPr>
      <w:tblGrid>
        <w:gridCol w:w="1224"/>
        <w:gridCol w:w="3167"/>
        <w:gridCol w:w="1799"/>
        <w:gridCol w:w="3674"/>
      </w:tblGrid>
      <w:tr w:rsidR="00C652FC" w14:paraId="2737DEB5" w14:textId="77777777" w:rsidTr="00AC16AA">
        <w:trPr>
          <w:cantSplit/>
          <w:tblHeader/>
          <w:jc w:val="center"/>
        </w:trPr>
        <w:tc>
          <w:tcPr>
            <w:tcW w:w="1224" w:type="dxa"/>
            <w:tcBorders>
              <w:top w:val="single" w:sz="4" w:space="0" w:color="B8C8D0"/>
              <w:left w:val="single" w:sz="4" w:space="0" w:color="B8C8D0"/>
              <w:bottom w:val="single" w:sz="4" w:space="0" w:color="B8C8D0"/>
              <w:right w:val="single" w:sz="4" w:space="0" w:color="B8C8D0"/>
            </w:tcBorders>
            <w:shd w:val="clear" w:color="auto" w:fill="17365D"/>
            <w:vAlign w:val="center"/>
          </w:tcPr>
          <w:p w14:paraId="331EFADC" w14:textId="77777777" w:rsidR="00C652FC" w:rsidRDefault="00000000">
            <w:pPr>
              <w:spacing w:after="0"/>
              <w:rPr>
                <w:rFonts w:ascii="Calibri" w:hAnsi="Calibri" w:cs="Calibri"/>
              </w:rPr>
            </w:pPr>
            <w:r>
              <w:rPr>
                <w:rFonts w:ascii="Calibri" w:hAnsi="Calibri" w:cs="Calibri"/>
                <w:b/>
                <w:color w:val="FFFFFF"/>
                <w:sz w:val="18"/>
              </w:rPr>
              <w:t>Time</w:t>
            </w:r>
          </w:p>
        </w:tc>
        <w:tc>
          <w:tcPr>
            <w:tcW w:w="3167" w:type="dxa"/>
            <w:tcBorders>
              <w:top w:val="single" w:sz="4" w:space="0" w:color="B8C8D0"/>
              <w:left w:val="single" w:sz="4" w:space="0" w:color="B8C8D0"/>
              <w:bottom w:val="single" w:sz="4" w:space="0" w:color="B8C8D0"/>
              <w:right w:val="single" w:sz="4" w:space="0" w:color="B8C8D0"/>
            </w:tcBorders>
            <w:shd w:val="clear" w:color="auto" w:fill="17365D"/>
            <w:vAlign w:val="center"/>
          </w:tcPr>
          <w:p w14:paraId="468AA0EA" w14:textId="77777777" w:rsidR="00C652FC" w:rsidRDefault="00000000">
            <w:pPr>
              <w:spacing w:after="0"/>
              <w:rPr>
                <w:rFonts w:ascii="Calibri" w:hAnsi="Calibri" w:cs="Calibri"/>
              </w:rPr>
            </w:pPr>
            <w:r>
              <w:rPr>
                <w:rFonts w:ascii="Calibri" w:hAnsi="Calibri" w:cs="Calibri"/>
                <w:b/>
                <w:color w:val="FFFFFF"/>
                <w:sz w:val="18"/>
              </w:rPr>
              <w:t>Session</w:t>
            </w:r>
          </w:p>
        </w:tc>
        <w:tc>
          <w:tcPr>
            <w:tcW w:w="1799" w:type="dxa"/>
            <w:tcBorders>
              <w:top w:val="single" w:sz="4" w:space="0" w:color="B8C8D0"/>
              <w:left w:val="single" w:sz="4" w:space="0" w:color="B8C8D0"/>
              <w:bottom w:val="single" w:sz="4" w:space="0" w:color="B8C8D0"/>
              <w:right w:val="single" w:sz="4" w:space="0" w:color="B8C8D0"/>
            </w:tcBorders>
            <w:shd w:val="clear" w:color="auto" w:fill="17365D"/>
            <w:vAlign w:val="center"/>
          </w:tcPr>
          <w:p w14:paraId="4F4C066D" w14:textId="77777777" w:rsidR="00C652FC" w:rsidRDefault="00000000">
            <w:pPr>
              <w:spacing w:after="0"/>
              <w:rPr>
                <w:rFonts w:ascii="Calibri" w:hAnsi="Calibri" w:cs="Calibri"/>
              </w:rPr>
            </w:pPr>
            <w:r>
              <w:rPr>
                <w:rFonts w:ascii="Calibri" w:hAnsi="Calibri" w:cs="Calibri"/>
                <w:b/>
                <w:color w:val="FFFFFF"/>
                <w:sz w:val="18"/>
              </w:rPr>
              <w:t>Format</w:t>
            </w:r>
          </w:p>
        </w:tc>
        <w:tc>
          <w:tcPr>
            <w:tcW w:w="3674" w:type="dxa"/>
            <w:tcBorders>
              <w:top w:val="single" w:sz="4" w:space="0" w:color="B8C8D0"/>
              <w:left w:val="single" w:sz="4" w:space="0" w:color="B8C8D0"/>
              <w:bottom w:val="single" w:sz="4" w:space="0" w:color="B8C8D0"/>
              <w:right w:val="single" w:sz="4" w:space="0" w:color="B8C8D0"/>
            </w:tcBorders>
            <w:shd w:val="clear" w:color="auto" w:fill="17365D"/>
            <w:vAlign w:val="center"/>
          </w:tcPr>
          <w:p w14:paraId="329F6023" w14:textId="77777777" w:rsidR="00C652FC" w:rsidRDefault="00000000">
            <w:pPr>
              <w:spacing w:after="0"/>
              <w:rPr>
                <w:rFonts w:ascii="Calibri" w:hAnsi="Calibri" w:cs="Calibri"/>
              </w:rPr>
            </w:pPr>
            <w:r>
              <w:rPr>
                <w:rFonts w:ascii="Calibri" w:hAnsi="Calibri" w:cs="Calibri"/>
                <w:b/>
                <w:color w:val="FFFFFF"/>
                <w:sz w:val="18"/>
              </w:rPr>
              <w:t>Purpose / intended result</w:t>
            </w:r>
          </w:p>
        </w:tc>
      </w:tr>
      <w:tr w:rsidR="00C652FC" w14:paraId="33692DBF" w14:textId="77777777" w:rsidTr="00AC16AA">
        <w:trPr>
          <w:cantSplit/>
          <w:jc w:val="center"/>
        </w:trPr>
        <w:tc>
          <w:tcPr>
            <w:tcW w:w="1224" w:type="dxa"/>
            <w:tcBorders>
              <w:top w:val="single" w:sz="4" w:space="0" w:color="B8C8D0"/>
              <w:left w:val="single" w:sz="4" w:space="0" w:color="B8C8D0"/>
              <w:bottom w:val="single" w:sz="4" w:space="0" w:color="B8C8D0"/>
              <w:right w:val="single" w:sz="4" w:space="0" w:color="B8C8D0"/>
            </w:tcBorders>
            <w:vAlign w:val="center"/>
          </w:tcPr>
          <w:p w14:paraId="25677DE1" w14:textId="77777777" w:rsidR="00C652FC" w:rsidRDefault="00000000">
            <w:pPr>
              <w:spacing w:after="0"/>
              <w:rPr>
                <w:rFonts w:ascii="Calibri" w:hAnsi="Calibri" w:cs="Calibri"/>
              </w:rPr>
            </w:pPr>
            <w:r>
              <w:rPr>
                <w:rFonts w:ascii="Calibri" w:hAnsi="Calibri" w:cs="Calibri"/>
                <w:sz w:val="17"/>
              </w:rPr>
              <w:t>09:00–09:20</w:t>
            </w:r>
          </w:p>
        </w:tc>
        <w:tc>
          <w:tcPr>
            <w:tcW w:w="3167" w:type="dxa"/>
            <w:tcBorders>
              <w:top w:val="single" w:sz="4" w:space="0" w:color="B8C8D0"/>
              <w:left w:val="single" w:sz="4" w:space="0" w:color="B8C8D0"/>
              <w:bottom w:val="single" w:sz="4" w:space="0" w:color="B8C8D0"/>
              <w:right w:val="single" w:sz="4" w:space="0" w:color="B8C8D0"/>
            </w:tcBorders>
            <w:vAlign w:val="center"/>
          </w:tcPr>
          <w:p w14:paraId="0E54D617" w14:textId="77777777" w:rsidR="00C652FC" w:rsidRDefault="00000000">
            <w:pPr>
              <w:spacing w:after="0"/>
              <w:rPr>
                <w:rFonts w:ascii="Calibri" w:hAnsi="Calibri" w:cs="Calibri"/>
              </w:rPr>
            </w:pPr>
            <w:r>
              <w:rPr>
                <w:rFonts w:ascii="Calibri" w:hAnsi="Calibri" w:cs="Calibri"/>
                <w:sz w:val="17"/>
              </w:rPr>
              <w:t>Recap and check-in</w:t>
            </w:r>
          </w:p>
        </w:tc>
        <w:tc>
          <w:tcPr>
            <w:tcW w:w="1799" w:type="dxa"/>
            <w:tcBorders>
              <w:top w:val="single" w:sz="4" w:space="0" w:color="B8C8D0"/>
              <w:left w:val="single" w:sz="4" w:space="0" w:color="B8C8D0"/>
              <w:bottom w:val="single" w:sz="4" w:space="0" w:color="B8C8D0"/>
              <w:right w:val="single" w:sz="4" w:space="0" w:color="B8C8D0"/>
            </w:tcBorders>
            <w:vAlign w:val="center"/>
          </w:tcPr>
          <w:p w14:paraId="67A5F06B" w14:textId="77777777" w:rsidR="00C652FC" w:rsidRDefault="00000000">
            <w:pPr>
              <w:spacing w:after="0"/>
              <w:rPr>
                <w:rFonts w:ascii="Calibri" w:hAnsi="Calibri" w:cs="Calibri"/>
              </w:rPr>
            </w:pPr>
            <w:r>
              <w:rPr>
                <w:rFonts w:ascii="Calibri" w:hAnsi="Calibri" w:cs="Calibri"/>
                <w:sz w:val="17"/>
              </w:rPr>
              <w:t>Plenary</w:t>
            </w:r>
          </w:p>
        </w:tc>
        <w:tc>
          <w:tcPr>
            <w:tcW w:w="3674" w:type="dxa"/>
            <w:tcBorders>
              <w:top w:val="single" w:sz="4" w:space="0" w:color="B8C8D0"/>
              <w:left w:val="single" w:sz="4" w:space="0" w:color="B8C8D0"/>
              <w:bottom w:val="single" w:sz="4" w:space="0" w:color="B8C8D0"/>
              <w:right w:val="single" w:sz="4" w:space="0" w:color="B8C8D0"/>
            </w:tcBorders>
            <w:vAlign w:val="center"/>
          </w:tcPr>
          <w:p w14:paraId="64051E52" w14:textId="77777777" w:rsidR="00C652FC" w:rsidRDefault="00000000">
            <w:pPr>
              <w:spacing w:after="0"/>
              <w:rPr>
                <w:rFonts w:ascii="Calibri" w:hAnsi="Calibri" w:cs="Calibri"/>
              </w:rPr>
            </w:pPr>
            <w:r>
              <w:rPr>
                <w:rFonts w:ascii="Calibri" w:hAnsi="Calibri" w:cs="Calibri"/>
                <w:sz w:val="17"/>
              </w:rPr>
              <w:t>Confirm Day 1 conclusions and the requirements to be assessed.</w:t>
            </w:r>
          </w:p>
        </w:tc>
      </w:tr>
      <w:tr w:rsidR="00AC16AA" w14:paraId="56E30712" w14:textId="77777777" w:rsidTr="005B2AE5">
        <w:trPr>
          <w:cantSplit/>
          <w:jc w:val="center"/>
        </w:trPr>
        <w:tc>
          <w:tcPr>
            <w:tcW w:w="1224" w:type="dxa"/>
            <w:tcBorders>
              <w:top w:val="single" w:sz="4" w:space="0" w:color="B8C8D0"/>
              <w:left w:val="single" w:sz="4" w:space="0" w:color="B8C8D0"/>
              <w:bottom w:val="single" w:sz="4" w:space="0" w:color="B8C8D0"/>
              <w:right w:val="single" w:sz="4" w:space="0" w:color="B8C8D0"/>
            </w:tcBorders>
            <w:shd w:val="clear" w:color="auto" w:fill="F4F7F8"/>
            <w:vAlign w:val="center"/>
          </w:tcPr>
          <w:p w14:paraId="56196FD3" w14:textId="2ABBB2D6" w:rsidR="00AC16AA" w:rsidRDefault="00AC16AA" w:rsidP="005B2AE5">
            <w:pPr>
              <w:spacing w:after="0"/>
              <w:rPr>
                <w:rFonts w:ascii="Calibri" w:hAnsi="Calibri" w:cs="Calibri"/>
              </w:rPr>
            </w:pPr>
            <w:r>
              <w:rPr>
                <w:rFonts w:ascii="Calibri" w:hAnsi="Calibri" w:cs="Calibri"/>
                <w:sz w:val="17"/>
              </w:rPr>
              <w:t>09:20–11:00</w:t>
            </w:r>
          </w:p>
        </w:tc>
        <w:tc>
          <w:tcPr>
            <w:tcW w:w="3167" w:type="dxa"/>
            <w:tcBorders>
              <w:top w:val="single" w:sz="4" w:space="0" w:color="B8C8D0"/>
              <w:left w:val="single" w:sz="4" w:space="0" w:color="B8C8D0"/>
              <w:bottom w:val="single" w:sz="4" w:space="0" w:color="B8C8D0"/>
              <w:right w:val="single" w:sz="4" w:space="0" w:color="B8C8D0"/>
            </w:tcBorders>
            <w:shd w:val="clear" w:color="auto" w:fill="F4F7F8"/>
            <w:vAlign w:val="center"/>
          </w:tcPr>
          <w:p w14:paraId="28E3C653" w14:textId="77777777" w:rsidR="00AC16AA" w:rsidRDefault="00AC16AA" w:rsidP="005B2AE5">
            <w:pPr>
              <w:spacing w:after="0"/>
              <w:rPr>
                <w:rFonts w:ascii="Calibri" w:hAnsi="Calibri" w:cs="Calibri"/>
              </w:rPr>
            </w:pPr>
            <w:r>
              <w:rPr>
                <w:rFonts w:ascii="Calibri" w:hAnsi="Calibri" w:cs="Calibri"/>
                <w:sz w:val="17"/>
              </w:rPr>
              <w:t>Focus Session 2: What must be measured directly, what can be inferred, and what can be temporary?</w:t>
            </w:r>
          </w:p>
        </w:tc>
        <w:tc>
          <w:tcPr>
            <w:tcW w:w="1799" w:type="dxa"/>
            <w:tcBorders>
              <w:top w:val="single" w:sz="4" w:space="0" w:color="B8C8D0"/>
              <w:left w:val="single" w:sz="4" w:space="0" w:color="B8C8D0"/>
              <w:bottom w:val="single" w:sz="4" w:space="0" w:color="B8C8D0"/>
              <w:right w:val="single" w:sz="4" w:space="0" w:color="B8C8D0"/>
            </w:tcBorders>
            <w:shd w:val="clear" w:color="auto" w:fill="F4F7F8"/>
            <w:vAlign w:val="center"/>
          </w:tcPr>
          <w:p w14:paraId="453C1B5E" w14:textId="77777777" w:rsidR="00AC16AA" w:rsidRDefault="00AC16AA" w:rsidP="005B2AE5">
            <w:pPr>
              <w:spacing w:after="0"/>
              <w:rPr>
                <w:rFonts w:ascii="Calibri" w:hAnsi="Calibri" w:cs="Calibri"/>
              </w:rPr>
            </w:pPr>
            <w:r>
              <w:rPr>
                <w:rFonts w:ascii="Calibri" w:hAnsi="Calibri" w:cs="Calibri"/>
                <w:sz w:val="17"/>
              </w:rPr>
              <w:t>Focus groups + report-back</w:t>
            </w:r>
          </w:p>
        </w:tc>
        <w:tc>
          <w:tcPr>
            <w:tcW w:w="3674" w:type="dxa"/>
            <w:tcBorders>
              <w:top w:val="single" w:sz="4" w:space="0" w:color="B8C8D0"/>
              <w:left w:val="single" w:sz="4" w:space="0" w:color="B8C8D0"/>
              <w:bottom w:val="single" w:sz="4" w:space="0" w:color="B8C8D0"/>
              <w:right w:val="single" w:sz="4" w:space="0" w:color="B8C8D0"/>
            </w:tcBorders>
            <w:shd w:val="clear" w:color="auto" w:fill="F4F7F8"/>
            <w:vAlign w:val="center"/>
          </w:tcPr>
          <w:p w14:paraId="2DF2CE59" w14:textId="77777777" w:rsidR="00AC16AA" w:rsidRDefault="00AC16AA" w:rsidP="005B2AE5">
            <w:pPr>
              <w:spacing w:after="0"/>
            </w:pPr>
            <w:r>
              <w:rPr>
                <w:rFonts w:ascii="Calibri" w:hAnsi="Calibri" w:cs="Calibri"/>
                <w:sz w:val="17"/>
              </w:rPr>
              <w:t>Classify persistent, commissioning-specific and model-supported capabilities; define evidence and responses to sensor or model failure.</w:t>
            </w:r>
          </w:p>
        </w:tc>
      </w:tr>
      <w:tr w:rsidR="00AC16AA" w14:paraId="48C41E9E" w14:textId="77777777" w:rsidTr="005B2AE5">
        <w:trPr>
          <w:cantSplit/>
          <w:jc w:val="center"/>
        </w:trPr>
        <w:tc>
          <w:tcPr>
            <w:tcW w:w="1224" w:type="dxa"/>
            <w:tcBorders>
              <w:top w:val="single" w:sz="4" w:space="0" w:color="B8C8D0"/>
              <w:left w:val="single" w:sz="4" w:space="0" w:color="B8C8D0"/>
              <w:bottom w:val="single" w:sz="4" w:space="0" w:color="B8C8D0"/>
              <w:right w:val="single" w:sz="4" w:space="0" w:color="B8C8D0"/>
            </w:tcBorders>
            <w:shd w:val="clear" w:color="auto" w:fill="D9E6EC"/>
            <w:vAlign w:val="center"/>
          </w:tcPr>
          <w:p w14:paraId="5E93161A" w14:textId="57307A1B" w:rsidR="00AC16AA" w:rsidRDefault="00AC16AA" w:rsidP="005B2AE5">
            <w:pPr>
              <w:spacing w:after="0"/>
              <w:rPr>
                <w:rFonts w:ascii="Calibri" w:hAnsi="Calibri" w:cs="Calibri"/>
              </w:rPr>
            </w:pPr>
            <w:r>
              <w:rPr>
                <w:rFonts w:ascii="Calibri" w:hAnsi="Calibri" w:cs="Calibri"/>
                <w:i/>
                <w:color w:val="5C6670"/>
                <w:sz w:val="17"/>
              </w:rPr>
              <w:t>11:00-11:20</w:t>
            </w:r>
          </w:p>
        </w:tc>
        <w:tc>
          <w:tcPr>
            <w:tcW w:w="3167" w:type="dxa"/>
            <w:tcBorders>
              <w:top w:val="single" w:sz="4" w:space="0" w:color="B8C8D0"/>
              <w:left w:val="single" w:sz="4" w:space="0" w:color="B8C8D0"/>
              <w:bottom w:val="single" w:sz="4" w:space="0" w:color="B8C8D0"/>
              <w:right w:val="single" w:sz="4" w:space="0" w:color="B8C8D0"/>
            </w:tcBorders>
            <w:shd w:val="clear" w:color="auto" w:fill="D9E6EC"/>
            <w:vAlign w:val="center"/>
          </w:tcPr>
          <w:p w14:paraId="4BC3D81C" w14:textId="77777777" w:rsidR="00AC16AA" w:rsidRDefault="00AC16AA" w:rsidP="005B2AE5">
            <w:pPr>
              <w:spacing w:after="0"/>
              <w:rPr>
                <w:rFonts w:ascii="Calibri" w:hAnsi="Calibri" w:cs="Calibri"/>
              </w:rPr>
            </w:pPr>
            <w:r>
              <w:rPr>
                <w:rFonts w:ascii="Calibri" w:hAnsi="Calibri" w:cs="Calibri"/>
                <w:i/>
                <w:color w:val="5C6670"/>
                <w:sz w:val="17"/>
              </w:rPr>
              <w:t>Coffee break</w:t>
            </w:r>
          </w:p>
        </w:tc>
        <w:tc>
          <w:tcPr>
            <w:tcW w:w="1799" w:type="dxa"/>
            <w:tcBorders>
              <w:top w:val="single" w:sz="4" w:space="0" w:color="B8C8D0"/>
              <w:left w:val="single" w:sz="4" w:space="0" w:color="B8C8D0"/>
              <w:bottom w:val="single" w:sz="4" w:space="0" w:color="B8C8D0"/>
              <w:right w:val="single" w:sz="4" w:space="0" w:color="B8C8D0"/>
            </w:tcBorders>
            <w:shd w:val="clear" w:color="auto" w:fill="D9E6EC"/>
            <w:vAlign w:val="center"/>
          </w:tcPr>
          <w:p w14:paraId="33467CE5" w14:textId="77777777" w:rsidR="00AC16AA" w:rsidRDefault="00AC16AA" w:rsidP="005B2AE5">
            <w:pPr>
              <w:spacing w:after="0"/>
              <w:rPr>
                <w:rFonts w:ascii="Calibri" w:hAnsi="Calibri" w:cs="Calibri"/>
              </w:rPr>
            </w:pPr>
          </w:p>
        </w:tc>
        <w:tc>
          <w:tcPr>
            <w:tcW w:w="3674" w:type="dxa"/>
            <w:tcBorders>
              <w:top w:val="single" w:sz="4" w:space="0" w:color="B8C8D0"/>
              <w:left w:val="single" w:sz="4" w:space="0" w:color="B8C8D0"/>
              <w:bottom w:val="single" w:sz="4" w:space="0" w:color="B8C8D0"/>
              <w:right w:val="single" w:sz="4" w:space="0" w:color="B8C8D0"/>
            </w:tcBorders>
            <w:shd w:val="clear" w:color="auto" w:fill="D9E6EC"/>
            <w:vAlign w:val="center"/>
          </w:tcPr>
          <w:p w14:paraId="3232250C" w14:textId="77777777" w:rsidR="00AC16AA" w:rsidRDefault="00AC16AA" w:rsidP="005B2AE5">
            <w:pPr>
              <w:spacing w:after="0"/>
              <w:rPr>
                <w:rFonts w:ascii="Calibri" w:hAnsi="Calibri" w:cs="Calibri"/>
              </w:rPr>
            </w:pPr>
          </w:p>
        </w:tc>
      </w:tr>
      <w:tr w:rsidR="00AC16AA" w14:paraId="7324C2F4" w14:textId="77777777" w:rsidTr="005B2AE5">
        <w:trPr>
          <w:cantSplit/>
          <w:jc w:val="center"/>
        </w:trPr>
        <w:tc>
          <w:tcPr>
            <w:tcW w:w="1224" w:type="dxa"/>
            <w:tcBorders>
              <w:top w:val="single" w:sz="4" w:space="0" w:color="B8C8D0"/>
              <w:left w:val="single" w:sz="4" w:space="0" w:color="B8C8D0"/>
              <w:bottom w:val="single" w:sz="4" w:space="0" w:color="B8C8D0"/>
              <w:right w:val="single" w:sz="4" w:space="0" w:color="B8C8D0"/>
            </w:tcBorders>
            <w:shd w:val="clear" w:color="auto" w:fill="F4F7F8"/>
            <w:vAlign w:val="center"/>
          </w:tcPr>
          <w:p w14:paraId="26D76466" w14:textId="63F6E84D" w:rsidR="00AC16AA" w:rsidRDefault="00007B67" w:rsidP="005B2AE5">
            <w:pPr>
              <w:spacing w:after="0"/>
              <w:rPr>
                <w:rFonts w:ascii="Calibri" w:hAnsi="Calibri" w:cs="Calibri"/>
              </w:rPr>
            </w:pPr>
            <w:r>
              <w:rPr>
                <w:rFonts w:ascii="Calibri" w:hAnsi="Calibri" w:cs="Calibri"/>
                <w:sz w:val="17"/>
              </w:rPr>
              <w:t>11:20-12:30</w:t>
            </w:r>
          </w:p>
        </w:tc>
        <w:tc>
          <w:tcPr>
            <w:tcW w:w="3167" w:type="dxa"/>
            <w:tcBorders>
              <w:top w:val="single" w:sz="4" w:space="0" w:color="B8C8D0"/>
              <w:left w:val="single" w:sz="4" w:space="0" w:color="B8C8D0"/>
              <w:bottom w:val="single" w:sz="4" w:space="0" w:color="B8C8D0"/>
              <w:right w:val="single" w:sz="4" w:space="0" w:color="B8C8D0"/>
            </w:tcBorders>
            <w:shd w:val="clear" w:color="auto" w:fill="F4F7F8"/>
            <w:vAlign w:val="center"/>
          </w:tcPr>
          <w:p w14:paraId="30335E18" w14:textId="77777777" w:rsidR="00AC16AA" w:rsidRDefault="00AC16AA" w:rsidP="005B2AE5">
            <w:pPr>
              <w:spacing w:after="0"/>
              <w:rPr>
                <w:rFonts w:ascii="Calibri" w:hAnsi="Calibri" w:cs="Calibri"/>
              </w:rPr>
            </w:pPr>
            <w:r>
              <w:rPr>
                <w:rFonts w:ascii="Calibri" w:hAnsi="Calibri" w:cs="Calibri"/>
                <w:sz w:val="17"/>
              </w:rPr>
              <w:t>Performance, availability and failure response</w:t>
            </w:r>
          </w:p>
        </w:tc>
        <w:tc>
          <w:tcPr>
            <w:tcW w:w="1799" w:type="dxa"/>
            <w:tcBorders>
              <w:top w:val="single" w:sz="4" w:space="0" w:color="B8C8D0"/>
              <w:left w:val="single" w:sz="4" w:space="0" w:color="B8C8D0"/>
              <w:bottom w:val="single" w:sz="4" w:space="0" w:color="B8C8D0"/>
              <w:right w:val="single" w:sz="4" w:space="0" w:color="B8C8D0"/>
            </w:tcBorders>
            <w:shd w:val="clear" w:color="auto" w:fill="F4F7F8"/>
            <w:vAlign w:val="center"/>
          </w:tcPr>
          <w:p w14:paraId="3DAD8BAC" w14:textId="77777777" w:rsidR="00AC16AA" w:rsidRDefault="00AC16AA" w:rsidP="005B2AE5">
            <w:pPr>
              <w:spacing w:after="0"/>
              <w:rPr>
                <w:rFonts w:ascii="Calibri" w:hAnsi="Calibri" w:cs="Calibri"/>
              </w:rPr>
            </w:pPr>
            <w:r>
              <w:rPr>
                <w:rFonts w:ascii="Calibri" w:hAnsi="Calibri" w:cs="Calibri"/>
                <w:sz w:val="17"/>
              </w:rPr>
              <w:t>Plenary working session</w:t>
            </w:r>
          </w:p>
        </w:tc>
        <w:tc>
          <w:tcPr>
            <w:tcW w:w="3674" w:type="dxa"/>
            <w:tcBorders>
              <w:top w:val="single" w:sz="4" w:space="0" w:color="B8C8D0"/>
              <w:left w:val="single" w:sz="4" w:space="0" w:color="B8C8D0"/>
              <w:bottom w:val="single" w:sz="4" w:space="0" w:color="B8C8D0"/>
              <w:right w:val="single" w:sz="4" w:space="0" w:color="B8C8D0"/>
            </w:tcBorders>
            <w:shd w:val="clear" w:color="auto" w:fill="F4F7F8"/>
            <w:vAlign w:val="center"/>
          </w:tcPr>
          <w:p w14:paraId="45D40DDD" w14:textId="77777777" w:rsidR="00AC16AA" w:rsidRDefault="00AC16AA" w:rsidP="005B2AE5">
            <w:pPr>
              <w:spacing w:after="0"/>
            </w:pPr>
            <w:r>
              <w:rPr>
                <w:rFonts w:ascii="Calibri" w:hAnsi="Calibri" w:cs="Calibri"/>
                <w:sz w:val="17"/>
              </w:rPr>
              <w:t>Define how range, uncertainty, latency, coverage, outage tolerance, degraded operation and fallback action will be expressed.</w:t>
            </w:r>
          </w:p>
        </w:tc>
      </w:tr>
      <w:tr w:rsidR="00007B67" w14:paraId="35FD88F6" w14:textId="77777777" w:rsidTr="005B2AE5">
        <w:trPr>
          <w:cantSplit/>
          <w:jc w:val="center"/>
        </w:trPr>
        <w:tc>
          <w:tcPr>
            <w:tcW w:w="1224" w:type="dxa"/>
            <w:tcBorders>
              <w:top w:val="single" w:sz="4" w:space="0" w:color="B8C8D0"/>
              <w:left w:val="single" w:sz="4" w:space="0" w:color="B8C8D0"/>
              <w:bottom w:val="single" w:sz="4" w:space="0" w:color="B8C8D0"/>
              <w:right w:val="single" w:sz="4" w:space="0" w:color="B8C8D0"/>
            </w:tcBorders>
            <w:shd w:val="clear" w:color="auto" w:fill="D9E6EC"/>
            <w:vAlign w:val="center"/>
          </w:tcPr>
          <w:p w14:paraId="5FA16A68" w14:textId="77777777" w:rsidR="00007B67" w:rsidRDefault="00007B67" w:rsidP="005B2AE5">
            <w:pPr>
              <w:spacing w:after="0"/>
              <w:rPr>
                <w:rFonts w:ascii="Calibri" w:hAnsi="Calibri" w:cs="Calibri"/>
              </w:rPr>
            </w:pPr>
            <w:r>
              <w:rPr>
                <w:rFonts w:ascii="Calibri" w:hAnsi="Calibri" w:cs="Calibri"/>
                <w:i/>
                <w:color w:val="5C6670"/>
                <w:sz w:val="17"/>
              </w:rPr>
              <w:t>12:30–13:30</w:t>
            </w:r>
          </w:p>
        </w:tc>
        <w:tc>
          <w:tcPr>
            <w:tcW w:w="3167" w:type="dxa"/>
            <w:tcBorders>
              <w:top w:val="single" w:sz="4" w:space="0" w:color="B8C8D0"/>
              <w:left w:val="single" w:sz="4" w:space="0" w:color="B8C8D0"/>
              <w:bottom w:val="single" w:sz="4" w:space="0" w:color="B8C8D0"/>
              <w:right w:val="single" w:sz="4" w:space="0" w:color="B8C8D0"/>
            </w:tcBorders>
            <w:shd w:val="clear" w:color="auto" w:fill="D9E6EC"/>
            <w:vAlign w:val="center"/>
          </w:tcPr>
          <w:p w14:paraId="4E7C0E2B" w14:textId="77777777" w:rsidR="00007B67" w:rsidRDefault="00007B67" w:rsidP="005B2AE5">
            <w:pPr>
              <w:spacing w:after="0"/>
              <w:rPr>
                <w:rFonts w:ascii="Calibri" w:hAnsi="Calibri" w:cs="Calibri"/>
              </w:rPr>
            </w:pPr>
            <w:r>
              <w:rPr>
                <w:rFonts w:ascii="Calibri" w:hAnsi="Calibri" w:cs="Calibri"/>
                <w:i/>
                <w:color w:val="5C6670"/>
                <w:sz w:val="17"/>
              </w:rPr>
              <w:t>Lunch</w:t>
            </w:r>
          </w:p>
        </w:tc>
        <w:tc>
          <w:tcPr>
            <w:tcW w:w="1799" w:type="dxa"/>
            <w:tcBorders>
              <w:top w:val="single" w:sz="4" w:space="0" w:color="B8C8D0"/>
              <w:left w:val="single" w:sz="4" w:space="0" w:color="B8C8D0"/>
              <w:bottom w:val="single" w:sz="4" w:space="0" w:color="B8C8D0"/>
              <w:right w:val="single" w:sz="4" w:space="0" w:color="B8C8D0"/>
            </w:tcBorders>
            <w:shd w:val="clear" w:color="auto" w:fill="D9E6EC"/>
            <w:vAlign w:val="center"/>
          </w:tcPr>
          <w:p w14:paraId="0838612A" w14:textId="77777777" w:rsidR="00007B67" w:rsidRDefault="00007B67" w:rsidP="005B2AE5">
            <w:pPr>
              <w:spacing w:after="0"/>
              <w:rPr>
                <w:rFonts w:ascii="Calibri" w:hAnsi="Calibri" w:cs="Calibri"/>
              </w:rPr>
            </w:pPr>
          </w:p>
        </w:tc>
        <w:tc>
          <w:tcPr>
            <w:tcW w:w="3674" w:type="dxa"/>
            <w:tcBorders>
              <w:top w:val="single" w:sz="4" w:space="0" w:color="B8C8D0"/>
              <w:left w:val="single" w:sz="4" w:space="0" w:color="B8C8D0"/>
              <w:bottom w:val="single" w:sz="4" w:space="0" w:color="B8C8D0"/>
              <w:right w:val="single" w:sz="4" w:space="0" w:color="B8C8D0"/>
            </w:tcBorders>
            <w:shd w:val="clear" w:color="auto" w:fill="D9E6EC"/>
            <w:vAlign w:val="center"/>
          </w:tcPr>
          <w:p w14:paraId="75F43E0E" w14:textId="77777777" w:rsidR="00007B67" w:rsidRDefault="00007B67" w:rsidP="005B2AE5">
            <w:pPr>
              <w:spacing w:after="0"/>
              <w:rPr>
                <w:rFonts w:ascii="Calibri" w:hAnsi="Calibri" w:cs="Calibri"/>
              </w:rPr>
            </w:pPr>
          </w:p>
        </w:tc>
      </w:tr>
      <w:tr w:rsidR="00C652FC" w14:paraId="55A413F5" w14:textId="77777777" w:rsidTr="00AC16AA">
        <w:trPr>
          <w:cantSplit/>
          <w:jc w:val="center"/>
        </w:trPr>
        <w:tc>
          <w:tcPr>
            <w:tcW w:w="1224" w:type="dxa"/>
            <w:tcBorders>
              <w:top w:val="single" w:sz="4" w:space="0" w:color="B8C8D0"/>
              <w:left w:val="single" w:sz="4" w:space="0" w:color="B8C8D0"/>
              <w:bottom w:val="single" w:sz="4" w:space="0" w:color="B8C8D0"/>
              <w:right w:val="single" w:sz="4" w:space="0" w:color="B8C8D0"/>
            </w:tcBorders>
            <w:shd w:val="clear" w:color="auto" w:fill="F4F7F8"/>
            <w:vAlign w:val="center"/>
          </w:tcPr>
          <w:p w14:paraId="650CB8D3" w14:textId="34099B0D" w:rsidR="00C652FC" w:rsidRDefault="005C23CB">
            <w:pPr>
              <w:spacing w:after="0"/>
              <w:rPr>
                <w:rFonts w:ascii="Calibri" w:hAnsi="Calibri" w:cs="Calibri"/>
              </w:rPr>
            </w:pPr>
            <w:r>
              <w:rPr>
                <w:rFonts w:ascii="Calibri" w:hAnsi="Calibri" w:cs="Calibri"/>
                <w:sz w:val="17"/>
              </w:rPr>
              <w:t>13:</w:t>
            </w:r>
            <w:r w:rsidR="008C6258">
              <w:rPr>
                <w:rFonts w:ascii="Calibri" w:hAnsi="Calibri" w:cs="Calibri"/>
                <w:sz w:val="17"/>
              </w:rPr>
              <w:t>30-14:10</w:t>
            </w:r>
          </w:p>
        </w:tc>
        <w:tc>
          <w:tcPr>
            <w:tcW w:w="3167" w:type="dxa"/>
            <w:tcBorders>
              <w:top w:val="single" w:sz="4" w:space="0" w:color="B8C8D0"/>
              <w:left w:val="single" w:sz="4" w:space="0" w:color="B8C8D0"/>
              <w:bottom w:val="single" w:sz="4" w:space="0" w:color="B8C8D0"/>
              <w:right w:val="single" w:sz="4" w:space="0" w:color="B8C8D0"/>
            </w:tcBorders>
            <w:shd w:val="clear" w:color="auto" w:fill="F4F7F8"/>
            <w:vAlign w:val="center"/>
          </w:tcPr>
          <w:p w14:paraId="341B5896" w14:textId="77777777" w:rsidR="00C652FC" w:rsidRDefault="00000000">
            <w:pPr>
              <w:spacing w:after="0"/>
              <w:rPr>
                <w:rFonts w:ascii="Calibri" w:hAnsi="Calibri" w:cs="Calibri"/>
              </w:rPr>
            </w:pPr>
            <w:r>
              <w:rPr>
                <w:rFonts w:ascii="Calibri" w:hAnsi="Calibri" w:cs="Calibri"/>
                <w:sz w:val="17"/>
              </w:rPr>
              <w:t>Reactor-grade environment and evidence</w:t>
            </w:r>
          </w:p>
        </w:tc>
        <w:tc>
          <w:tcPr>
            <w:tcW w:w="1799" w:type="dxa"/>
            <w:tcBorders>
              <w:top w:val="single" w:sz="4" w:space="0" w:color="B8C8D0"/>
              <w:left w:val="single" w:sz="4" w:space="0" w:color="B8C8D0"/>
              <w:bottom w:val="single" w:sz="4" w:space="0" w:color="B8C8D0"/>
              <w:right w:val="single" w:sz="4" w:space="0" w:color="B8C8D0"/>
            </w:tcBorders>
            <w:shd w:val="clear" w:color="auto" w:fill="F4F7F8"/>
            <w:vAlign w:val="center"/>
          </w:tcPr>
          <w:p w14:paraId="1822357B" w14:textId="77777777" w:rsidR="00C652FC" w:rsidRDefault="00000000">
            <w:pPr>
              <w:spacing w:after="0"/>
              <w:rPr>
                <w:rFonts w:ascii="Calibri" w:hAnsi="Calibri" w:cs="Calibri"/>
              </w:rPr>
            </w:pPr>
            <w:r>
              <w:rPr>
                <w:rFonts w:ascii="Calibri" w:hAnsi="Calibri" w:cs="Calibri"/>
                <w:sz w:val="17"/>
              </w:rPr>
              <w:t>2–3 short inputs + discussion</w:t>
            </w:r>
          </w:p>
        </w:tc>
        <w:tc>
          <w:tcPr>
            <w:tcW w:w="3674" w:type="dxa"/>
            <w:tcBorders>
              <w:top w:val="single" w:sz="4" w:space="0" w:color="B8C8D0"/>
              <w:left w:val="single" w:sz="4" w:space="0" w:color="B8C8D0"/>
              <w:bottom w:val="single" w:sz="4" w:space="0" w:color="B8C8D0"/>
              <w:right w:val="single" w:sz="4" w:space="0" w:color="B8C8D0"/>
            </w:tcBorders>
            <w:shd w:val="clear" w:color="auto" w:fill="F4F7F8"/>
            <w:vAlign w:val="center"/>
          </w:tcPr>
          <w:p w14:paraId="736A71FE" w14:textId="77777777" w:rsidR="00C652FC" w:rsidRDefault="00000000">
            <w:pPr>
              <w:spacing w:after="0"/>
              <w:rPr>
                <w:rFonts w:ascii="Calibri" w:hAnsi="Calibri" w:cs="Calibri"/>
              </w:rPr>
            </w:pPr>
            <w:r>
              <w:rPr>
                <w:rFonts w:ascii="Calibri" w:hAnsi="Calibri" w:cs="Calibri"/>
                <w:sz w:val="17"/>
              </w:rPr>
              <w:t>Frame radiation, thermal, electromagnetic, chemical, access, maintenance, safety-classification and qualification constraints.</w:t>
            </w:r>
          </w:p>
        </w:tc>
      </w:tr>
      <w:tr w:rsidR="00C652FC" w14:paraId="08E50819" w14:textId="77777777" w:rsidTr="00AC16AA">
        <w:trPr>
          <w:cantSplit/>
          <w:jc w:val="center"/>
        </w:trPr>
        <w:tc>
          <w:tcPr>
            <w:tcW w:w="1224" w:type="dxa"/>
            <w:tcBorders>
              <w:top w:val="single" w:sz="4" w:space="0" w:color="B8C8D0"/>
              <w:left w:val="single" w:sz="4" w:space="0" w:color="B8C8D0"/>
              <w:bottom w:val="single" w:sz="4" w:space="0" w:color="B8C8D0"/>
              <w:right w:val="single" w:sz="4" w:space="0" w:color="B8C8D0"/>
            </w:tcBorders>
            <w:shd w:val="clear" w:color="auto" w:fill="F4F7F8"/>
            <w:vAlign w:val="center"/>
          </w:tcPr>
          <w:p w14:paraId="59E3B58B" w14:textId="61E27F1C" w:rsidR="00C652FC" w:rsidRDefault="008C6258">
            <w:pPr>
              <w:spacing w:after="0"/>
              <w:rPr>
                <w:rFonts w:ascii="Calibri" w:hAnsi="Calibri" w:cs="Calibri"/>
              </w:rPr>
            </w:pPr>
            <w:r>
              <w:rPr>
                <w:rFonts w:ascii="Calibri" w:hAnsi="Calibri" w:cs="Calibri"/>
                <w:sz w:val="17"/>
              </w:rPr>
              <w:lastRenderedPageBreak/>
              <w:t>14:10-</w:t>
            </w:r>
            <w:r w:rsidR="000C66D6">
              <w:rPr>
                <w:rFonts w:ascii="Calibri" w:hAnsi="Calibri" w:cs="Calibri"/>
                <w:sz w:val="17"/>
              </w:rPr>
              <w:t>15:40</w:t>
            </w:r>
          </w:p>
        </w:tc>
        <w:tc>
          <w:tcPr>
            <w:tcW w:w="3167" w:type="dxa"/>
            <w:tcBorders>
              <w:top w:val="single" w:sz="4" w:space="0" w:color="B8C8D0"/>
              <w:left w:val="single" w:sz="4" w:space="0" w:color="B8C8D0"/>
              <w:bottom w:val="single" w:sz="4" w:space="0" w:color="B8C8D0"/>
              <w:right w:val="single" w:sz="4" w:space="0" w:color="B8C8D0"/>
            </w:tcBorders>
            <w:shd w:val="clear" w:color="auto" w:fill="F4F7F8"/>
            <w:vAlign w:val="center"/>
          </w:tcPr>
          <w:p w14:paraId="0FB8752F" w14:textId="2F9F589D" w:rsidR="00C652FC" w:rsidRDefault="00000000">
            <w:pPr>
              <w:spacing w:after="0"/>
              <w:rPr>
                <w:rFonts w:ascii="Calibri" w:hAnsi="Calibri" w:cs="Calibri"/>
              </w:rPr>
            </w:pPr>
            <w:r>
              <w:rPr>
                <w:rFonts w:ascii="Calibri" w:hAnsi="Calibri" w:cs="Calibri"/>
                <w:sz w:val="17"/>
              </w:rPr>
              <w:t xml:space="preserve">Focus Session 3: </w:t>
            </w:r>
            <w:r w:rsidR="00135B46" w:rsidRPr="00135B46">
              <w:rPr>
                <w:rFonts w:ascii="Calibri" w:hAnsi="Calibri" w:cs="Calibri"/>
                <w:sz w:val="17"/>
              </w:rPr>
              <w:t>Can the required measurement capability survive, operate, be maintained and remain trustworthy</w:t>
            </w:r>
            <w:r>
              <w:rPr>
                <w:rFonts w:ascii="Calibri" w:hAnsi="Calibri" w:cs="Calibri"/>
                <w:sz w:val="17"/>
              </w:rPr>
              <w:t>?</w:t>
            </w:r>
          </w:p>
        </w:tc>
        <w:tc>
          <w:tcPr>
            <w:tcW w:w="1799" w:type="dxa"/>
            <w:tcBorders>
              <w:top w:val="single" w:sz="4" w:space="0" w:color="B8C8D0"/>
              <w:left w:val="single" w:sz="4" w:space="0" w:color="B8C8D0"/>
              <w:bottom w:val="single" w:sz="4" w:space="0" w:color="B8C8D0"/>
              <w:right w:val="single" w:sz="4" w:space="0" w:color="B8C8D0"/>
            </w:tcBorders>
            <w:shd w:val="clear" w:color="auto" w:fill="F4F7F8"/>
            <w:vAlign w:val="center"/>
          </w:tcPr>
          <w:p w14:paraId="32743DD4" w14:textId="77777777" w:rsidR="00C652FC" w:rsidRDefault="00000000">
            <w:pPr>
              <w:spacing w:after="0"/>
              <w:rPr>
                <w:rFonts w:ascii="Calibri" w:hAnsi="Calibri" w:cs="Calibri"/>
              </w:rPr>
            </w:pPr>
            <w:r>
              <w:rPr>
                <w:rFonts w:ascii="Calibri" w:hAnsi="Calibri" w:cs="Calibri"/>
                <w:sz w:val="17"/>
              </w:rPr>
              <w:t>Focus groups + report-back</w:t>
            </w:r>
          </w:p>
        </w:tc>
        <w:tc>
          <w:tcPr>
            <w:tcW w:w="3674" w:type="dxa"/>
            <w:tcBorders>
              <w:top w:val="single" w:sz="4" w:space="0" w:color="B8C8D0"/>
              <w:left w:val="single" w:sz="4" w:space="0" w:color="B8C8D0"/>
              <w:bottom w:val="single" w:sz="4" w:space="0" w:color="B8C8D0"/>
              <w:right w:val="single" w:sz="4" w:space="0" w:color="B8C8D0"/>
            </w:tcBorders>
            <w:shd w:val="clear" w:color="auto" w:fill="F4F7F8"/>
            <w:vAlign w:val="center"/>
          </w:tcPr>
          <w:p w14:paraId="3074B8DF" w14:textId="77777777" w:rsidR="00C652FC" w:rsidRDefault="00000000">
            <w:pPr>
              <w:spacing w:after="0"/>
              <w:rPr>
                <w:rFonts w:ascii="Calibri" w:hAnsi="Calibri" w:cs="Calibri"/>
              </w:rPr>
            </w:pPr>
            <w:r>
              <w:rPr>
                <w:rFonts w:ascii="Calibri" w:hAnsi="Calibri" w:cs="Calibri"/>
                <w:sz w:val="17"/>
              </w:rPr>
              <w:t>Identify gaps in survivability, physical and I&amp;C integration, calibration, maintainability, data integrity, RAMI and qualification.</w:t>
            </w:r>
          </w:p>
        </w:tc>
      </w:tr>
      <w:tr w:rsidR="00C652FC" w14:paraId="7A303DAF" w14:textId="77777777" w:rsidTr="00AC16AA">
        <w:trPr>
          <w:cantSplit/>
          <w:jc w:val="center"/>
        </w:trPr>
        <w:tc>
          <w:tcPr>
            <w:tcW w:w="1224" w:type="dxa"/>
            <w:tcBorders>
              <w:top w:val="single" w:sz="4" w:space="0" w:color="B8C8D0"/>
              <w:left w:val="single" w:sz="4" w:space="0" w:color="B8C8D0"/>
              <w:bottom w:val="single" w:sz="4" w:space="0" w:color="B8C8D0"/>
              <w:right w:val="single" w:sz="4" w:space="0" w:color="B8C8D0"/>
            </w:tcBorders>
            <w:shd w:val="clear" w:color="auto" w:fill="D9E6EC"/>
            <w:vAlign w:val="center"/>
          </w:tcPr>
          <w:p w14:paraId="55746CB0" w14:textId="05925AB7" w:rsidR="00C652FC" w:rsidRDefault="000C66D6">
            <w:pPr>
              <w:spacing w:after="0"/>
              <w:rPr>
                <w:rFonts w:ascii="Calibri" w:hAnsi="Calibri" w:cs="Calibri"/>
              </w:rPr>
            </w:pPr>
            <w:r>
              <w:rPr>
                <w:rFonts w:ascii="Calibri" w:hAnsi="Calibri" w:cs="Calibri"/>
                <w:i/>
                <w:color w:val="5C6670"/>
                <w:sz w:val="17"/>
              </w:rPr>
              <w:t>15:40-16:00</w:t>
            </w:r>
          </w:p>
        </w:tc>
        <w:tc>
          <w:tcPr>
            <w:tcW w:w="3167" w:type="dxa"/>
            <w:tcBorders>
              <w:top w:val="single" w:sz="4" w:space="0" w:color="B8C8D0"/>
              <w:left w:val="single" w:sz="4" w:space="0" w:color="B8C8D0"/>
              <w:bottom w:val="single" w:sz="4" w:space="0" w:color="B8C8D0"/>
              <w:right w:val="single" w:sz="4" w:space="0" w:color="B8C8D0"/>
            </w:tcBorders>
            <w:shd w:val="clear" w:color="auto" w:fill="D9E6EC"/>
            <w:vAlign w:val="center"/>
          </w:tcPr>
          <w:p w14:paraId="6E7A9252" w14:textId="21391C90" w:rsidR="00C652FC" w:rsidRDefault="000C66D6">
            <w:pPr>
              <w:spacing w:after="0"/>
              <w:rPr>
                <w:rFonts w:ascii="Calibri" w:hAnsi="Calibri" w:cs="Calibri"/>
              </w:rPr>
            </w:pPr>
            <w:r>
              <w:rPr>
                <w:rFonts w:ascii="Calibri" w:hAnsi="Calibri" w:cs="Calibri"/>
                <w:i/>
                <w:color w:val="5C6670"/>
                <w:sz w:val="17"/>
              </w:rPr>
              <w:t>Coffee break</w:t>
            </w:r>
          </w:p>
        </w:tc>
        <w:tc>
          <w:tcPr>
            <w:tcW w:w="1799" w:type="dxa"/>
            <w:tcBorders>
              <w:top w:val="single" w:sz="4" w:space="0" w:color="B8C8D0"/>
              <w:left w:val="single" w:sz="4" w:space="0" w:color="B8C8D0"/>
              <w:bottom w:val="single" w:sz="4" w:space="0" w:color="B8C8D0"/>
              <w:right w:val="single" w:sz="4" w:space="0" w:color="B8C8D0"/>
            </w:tcBorders>
            <w:shd w:val="clear" w:color="auto" w:fill="D9E6EC"/>
            <w:vAlign w:val="center"/>
          </w:tcPr>
          <w:p w14:paraId="6F4C53B0" w14:textId="77777777" w:rsidR="00C652FC" w:rsidRDefault="00C652FC">
            <w:pPr>
              <w:spacing w:after="0"/>
              <w:rPr>
                <w:rFonts w:ascii="Calibri" w:hAnsi="Calibri" w:cs="Calibri"/>
              </w:rPr>
            </w:pPr>
          </w:p>
        </w:tc>
        <w:tc>
          <w:tcPr>
            <w:tcW w:w="3674" w:type="dxa"/>
            <w:tcBorders>
              <w:top w:val="single" w:sz="4" w:space="0" w:color="B8C8D0"/>
              <w:left w:val="single" w:sz="4" w:space="0" w:color="B8C8D0"/>
              <w:bottom w:val="single" w:sz="4" w:space="0" w:color="B8C8D0"/>
              <w:right w:val="single" w:sz="4" w:space="0" w:color="B8C8D0"/>
            </w:tcBorders>
            <w:shd w:val="clear" w:color="auto" w:fill="D9E6EC"/>
            <w:vAlign w:val="center"/>
          </w:tcPr>
          <w:p w14:paraId="5E338989" w14:textId="77777777" w:rsidR="00C652FC" w:rsidRDefault="00C652FC">
            <w:pPr>
              <w:spacing w:after="0"/>
              <w:rPr>
                <w:rFonts w:ascii="Calibri" w:hAnsi="Calibri" w:cs="Calibri"/>
              </w:rPr>
            </w:pPr>
          </w:p>
        </w:tc>
      </w:tr>
      <w:tr w:rsidR="00C652FC" w14:paraId="4D5AC2AF" w14:textId="77777777" w:rsidTr="00AC16AA">
        <w:trPr>
          <w:cantSplit/>
          <w:jc w:val="center"/>
        </w:trPr>
        <w:tc>
          <w:tcPr>
            <w:tcW w:w="1224" w:type="dxa"/>
            <w:tcBorders>
              <w:top w:val="single" w:sz="4" w:space="0" w:color="B8C8D0"/>
              <w:left w:val="single" w:sz="4" w:space="0" w:color="B8C8D0"/>
              <w:bottom w:val="single" w:sz="4" w:space="0" w:color="B8C8D0"/>
              <w:right w:val="single" w:sz="4" w:space="0" w:color="B8C8D0"/>
            </w:tcBorders>
            <w:shd w:val="clear" w:color="auto" w:fill="F4F7F8"/>
            <w:vAlign w:val="center"/>
          </w:tcPr>
          <w:p w14:paraId="27BB5883" w14:textId="27EC46F5" w:rsidR="00C652FC" w:rsidRDefault="000C66D6">
            <w:pPr>
              <w:spacing w:after="0"/>
              <w:rPr>
                <w:rFonts w:ascii="Calibri" w:hAnsi="Calibri" w:cs="Calibri"/>
              </w:rPr>
            </w:pPr>
            <w:r>
              <w:rPr>
                <w:rFonts w:ascii="Calibri" w:hAnsi="Calibri" w:cs="Calibri"/>
                <w:sz w:val="17"/>
              </w:rPr>
              <w:t>16:00-16:30</w:t>
            </w:r>
          </w:p>
        </w:tc>
        <w:tc>
          <w:tcPr>
            <w:tcW w:w="3167" w:type="dxa"/>
            <w:tcBorders>
              <w:top w:val="single" w:sz="4" w:space="0" w:color="B8C8D0"/>
              <w:left w:val="single" w:sz="4" w:space="0" w:color="B8C8D0"/>
              <w:bottom w:val="single" w:sz="4" w:space="0" w:color="B8C8D0"/>
              <w:right w:val="single" w:sz="4" w:space="0" w:color="B8C8D0"/>
            </w:tcBorders>
            <w:shd w:val="clear" w:color="auto" w:fill="F4F7F8"/>
            <w:vAlign w:val="center"/>
          </w:tcPr>
          <w:p w14:paraId="593F6FAE" w14:textId="306BE113" w:rsidR="00C652FC" w:rsidRDefault="006623F0">
            <w:pPr>
              <w:spacing w:after="0"/>
            </w:pPr>
            <w:r w:rsidRPr="006623F0">
              <w:rPr>
                <w:rFonts w:ascii="Calibri" w:hAnsi="Calibri" w:cs="Calibri"/>
                <w:sz w:val="17"/>
              </w:rPr>
              <w:t xml:space="preserve">Industrial delivery and supplier perspective. Available capabilities and development barriers". </w:t>
            </w:r>
          </w:p>
        </w:tc>
        <w:tc>
          <w:tcPr>
            <w:tcW w:w="1799" w:type="dxa"/>
            <w:tcBorders>
              <w:top w:val="single" w:sz="4" w:space="0" w:color="B8C8D0"/>
              <w:left w:val="single" w:sz="4" w:space="0" w:color="B8C8D0"/>
              <w:bottom w:val="single" w:sz="4" w:space="0" w:color="B8C8D0"/>
              <w:right w:val="single" w:sz="4" w:space="0" w:color="B8C8D0"/>
            </w:tcBorders>
            <w:shd w:val="clear" w:color="auto" w:fill="F4F7F8"/>
            <w:vAlign w:val="center"/>
          </w:tcPr>
          <w:p w14:paraId="71AC5B19" w14:textId="77777777" w:rsidR="00C652FC" w:rsidRDefault="00000000">
            <w:pPr>
              <w:spacing w:after="0"/>
              <w:rPr>
                <w:rFonts w:ascii="Calibri" w:hAnsi="Calibri" w:cs="Calibri"/>
              </w:rPr>
            </w:pPr>
            <w:r>
              <w:rPr>
                <w:rFonts w:ascii="Calibri" w:hAnsi="Calibri" w:cs="Calibri"/>
                <w:sz w:val="17"/>
              </w:rPr>
              <w:t>1–2 short inputs</w:t>
            </w:r>
          </w:p>
        </w:tc>
        <w:tc>
          <w:tcPr>
            <w:tcW w:w="3674" w:type="dxa"/>
            <w:tcBorders>
              <w:top w:val="single" w:sz="4" w:space="0" w:color="B8C8D0"/>
              <w:left w:val="single" w:sz="4" w:space="0" w:color="B8C8D0"/>
              <w:bottom w:val="single" w:sz="4" w:space="0" w:color="B8C8D0"/>
              <w:right w:val="single" w:sz="4" w:space="0" w:color="B8C8D0"/>
            </w:tcBorders>
            <w:shd w:val="clear" w:color="auto" w:fill="F4F7F8"/>
            <w:vAlign w:val="center"/>
          </w:tcPr>
          <w:p w14:paraId="7C2FB5B4" w14:textId="497087DB" w:rsidR="00C652FC" w:rsidRDefault="006623F0">
            <w:pPr>
              <w:spacing w:after="0"/>
              <w:rPr>
                <w:rFonts w:ascii="Calibri" w:hAnsi="Calibri" w:cs="Calibri"/>
              </w:rPr>
            </w:pPr>
            <w:r w:rsidRPr="006623F0">
              <w:rPr>
                <w:rFonts w:ascii="Calibri" w:hAnsi="Calibri" w:cs="Calibri"/>
                <w:sz w:val="17"/>
              </w:rPr>
              <w:t>Ask suppliers what is already possible, what is missing and which requirements would guide development.</w:t>
            </w:r>
          </w:p>
        </w:tc>
      </w:tr>
      <w:tr w:rsidR="007801D2" w14:paraId="26E5E0F3" w14:textId="77777777" w:rsidTr="005B2AE5">
        <w:trPr>
          <w:cantSplit/>
          <w:jc w:val="center"/>
        </w:trPr>
        <w:tc>
          <w:tcPr>
            <w:tcW w:w="1224" w:type="dxa"/>
            <w:tcBorders>
              <w:top w:val="single" w:sz="4" w:space="0" w:color="B8C8D0"/>
              <w:left w:val="single" w:sz="4" w:space="0" w:color="B8C8D0"/>
              <w:bottom w:val="single" w:sz="4" w:space="0" w:color="B8C8D0"/>
              <w:right w:val="single" w:sz="4" w:space="0" w:color="B8C8D0"/>
            </w:tcBorders>
            <w:vAlign w:val="center"/>
          </w:tcPr>
          <w:p w14:paraId="17B1E5D8" w14:textId="39E036C3" w:rsidR="007801D2" w:rsidRDefault="007801D2" w:rsidP="005B2AE5">
            <w:pPr>
              <w:spacing w:after="0"/>
              <w:rPr>
                <w:rFonts w:ascii="Calibri" w:hAnsi="Calibri" w:cs="Calibri"/>
                <w:sz w:val="17"/>
              </w:rPr>
            </w:pPr>
            <w:r>
              <w:rPr>
                <w:rFonts w:ascii="Calibri" w:hAnsi="Calibri" w:cs="Calibri"/>
                <w:sz w:val="17"/>
              </w:rPr>
              <w:t>16:30-17:00</w:t>
            </w:r>
          </w:p>
        </w:tc>
        <w:tc>
          <w:tcPr>
            <w:tcW w:w="3167" w:type="dxa"/>
            <w:tcBorders>
              <w:top w:val="single" w:sz="4" w:space="0" w:color="B8C8D0"/>
              <w:left w:val="single" w:sz="4" w:space="0" w:color="B8C8D0"/>
              <w:bottom w:val="single" w:sz="4" w:space="0" w:color="B8C8D0"/>
              <w:right w:val="single" w:sz="4" w:space="0" w:color="B8C8D0"/>
            </w:tcBorders>
            <w:vAlign w:val="center"/>
          </w:tcPr>
          <w:p w14:paraId="1ECB3F6D" w14:textId="7AE9F60B" w:rsidR="007801D2" w:rsidRDefault="007801D2" w:rsidP="005B2AE5">
            <w:pPr>
              <w:spacing w:after="0"/>
              <w:rPr>
                <w:rFonts w:ascii="Calibri" w:hAnsi="Calibri" w:cs="Calibri"/>
                <w:sz w:val="17"/>
              </w:rPr>
            </w:pPr>
            <w:r>
              <w:rPr>
                <w:rFonts w:ascii="Calibri" w:hAnsi="Calibri" w:cs="Calibri"/>
                <w:sz w:val="17"/>
              </w:rPr>
              <w:t>Day 2 synthesis</w:t>
            </w:r>
          </w:p>
        </w:tc>
        <w:tc>
          <w:tcPr>
            <w:tcW w:w="1799" w:type="dxa"/>
            <w:tcBorders>
              <w:top w:val="single" w:sz="4" w:space="0" w:color="B8C8D0"/>
              <w:left w:val="single" w:sz="4" w:space="0" w:color="B8C8D0"/>
              <w:bottom w:val="single" w:sz="4" w:space="0" w:color="B8C8D0"/>
              <w:right w:val="single" w:sz="4" w:space="0" w:color="B8C8D0"/>
            </w:tcBorders>
            <w:vAlign w:val="center"/>
          </w:tcPr>
          <w:p w14:paraId="764CF5A9" w14:textId="77777777" w:rsidR="007801D2" w:rsidRDefault="007801D2" w:rsidP="005B2AE5">
            <w:pPr>
              <w:spacing w:after="0"/>
              <w:rPr>
                <w:rFonts w:ascii="Calibri" w:hAnsi="Calibri" w:cs="Calibri"/>
                <w:sz w:val="17"/>
              </w:rPr>
            </w:pPr>
            <w:r>
              <w:rPr>
                <w:rFonts w:ascii="Calibri" w:hAnsi="Calibri" w:cs="Calibri"/>
                <w:sz w:val="17"/>
              </w:rPr>
              <w:t>Decision session</w:t>
            </w:r>
          </w:p>
        </w:tc>
        <w:tc>
          <w:tcPr>
            <w:tcW w:w="3674" w:type="dxa"/>
            <w:tcBorders>
              <w:top w:val="single" w:sz="4" w:space="0" w:color="B8C8D0"/>
              <w:left w:val="single" w:sz="4" w:space="0" w:color="B8C8D0"/>
              <w:bottom w:val="single" w:sz="4" w:space="0" w:color="B8C8D0"/>
              <w:right w:val="single" w:sz="4" w:space="0" w:color="B8C8D0"/>
            </w:tcBorders>
            <w:vAlign w:val="center"/>
          </w:tcPr>
          <w:p w14:paraId="01795606" w14:textId="49533F97" w:rsidR="007801D2" w:rsidRDefault="007801D2" w:rsidP="005B2AE5">
            <w:pPr>
              <w:spacing w:after="0"/>
              <w:rPr>
                <w:rFonts w:ascii="Calibri" w:hAnsi="Calibri" w:cs="Calibri"/>
                <w:sz w:val="17"/>
              </w:rPr>
            </w:pPr>
            <w:r>
              <w:rPr>
                <w:rFonts w:ascii="Calibri" w:hAnsi="Calibri" w:cs="Calibri"/>
                <w:sz w:val="17"/>
              </w:rPr>
              <w:t>Confirm the initial capability gaps and evidence gaps</w:t>
            </w:r>
          </w:p>
        </w:tc>
      </w:tr>
      <w:tr w:rsidR="00C652FC" w:rsidRPr="004D2014" w14:paraId="5C612B8F" w14:textId="77777777" w:rsidTr="00AC16AA">
        <w:trPr>
          <w:cantSplit/>
          <w:jc w:val="center"/>
        </w:trPr>
        <w:tc>
          <w:tcPr>
            <w:tcW w:w="1224" w:type="dxa"/>
            <w:tcBorders>
              <w:top w:val="single" w:sz="4" w:space="0" w:color="B8C8D0"/>
              <w:left w:val="single" w:sz="4" w:space="0" w:color="B8C8D0"/>
              <w:bottom w:val="single" w:sz="4" w:space="0" w:color="B8C8D0"/>
              <w:right w:val="single" w:sz="4" w:space="0" w:color="B8C8D0"/>
            </w:tcBorders>
            <w:shd w:val="clear" w:color="auto" w:fill="D9E6EC"/>
            <w:vAlign w:val="center"/>
          </w:tcPr>
          <w:p w14:paraId="376A14C1" w14:textId="5DE031B1" w:rsidR="00C652FC" w:rsidRPr="004D2014" w:rsidRDefault="007801D2">
            <w:pPr>
              <w:spacing w:after="0"/>
              <w:rPr>
                <w:rFonts w:ascii="Calibri" w:hAnsi="Calibri" w:cs="Calibri"/>
                <w:i/>
                <w:iCs/>
              </w:rPr>
            </w:pPr>
            <w:r w:rsidRPr="004D2014">
              <w:rPr>
                <w:rFonts w:ascii="Calibri" w:hAnsi="Calibri" w:cs="Calibri"/>
                <w:i/>
                <w:iCs/>
              </w:rPr>
              <w:t>19:00</w:t>
            </w:r>
          </w:p>
        </w:tc>
        <w:tc>
          <w:tcPr>
            <w:tcW w:w="3167" w:type="dxa"/>
            <w:tcBorders>
              <w:top w:val="single" w:sz="4" w:space="0" w:color="B8C8D0"/>
              <w:left w:val="single" w:sz="4" w:space="0" w:color="B8C8D0"/>
              <w:bottom w:val="single" w:sz="4" w:space="0" w:color="B8C8D0"/>
              <w:right w:val="single" w:sz="4" w:space="0" w:color="B8C8D0"/>
            </w:tcBorders>
            <w:shd w:val="clear" w:color="auto" w:fill="D9E6EC"/>
            <w:vAlign w:val="center"/>
          </w:tcPr>
          <w:p w14:paraId="7BAAF797" w14:textId="1971BA2B" w:rsidR="00C652FC" w:rsidRPr="004D2014" w:rsidRDefault="004D2014">
            <w:pPr>
              <w:spacing w:after="0"/>
              <w:rPr>
                <w:rFonts w:ascii="Calibri" w:hAnsi="Calibri" w:cs="Calibri"/>
                <w:i/>
                <w:iCs/>
              </w:rPr>
            </w:pPr>
            <w:r>
              <w:rPr>
                <w:rFonts w:ascii="Calibri" w:hAnsi="Calibri" w:cs="Calibri"/>
                <w:i/>
                <w:iCs/>
              </w:rPr>
              <w:t>Dinner</w:t>
            </w:r>
          </w:p>
        </w:tc>
        <w:tc>
          <w:tcPr>
            <w:tcW w:w="1799" w:type="dxa"/>
            <w:tcBorders>
              <w:top w:val="single" w:sz="4" w:space="0" w:color="B8C8D0"/>
              <w:left w:val="single" w:sz="4" w:space="0" w:color="B8C8D0"/>
              <w:bottom w:val="single" w:sz="4" w:space="0" w:color="B8C8D0"/>
              <w:right w:val="single" w:sz="4" w:space="0" w:color="B8C8D0"/>
            </w:tcBorders>
            <w:shd w:val="clear" w:color="auto" w:fill="D9E6EC"/>
            <w:vAlign w:val="center"/>
          </w:tcPr>
          <w:p w14:paraId="68E966FF" w14:textId="77777777" w:rsidR="00C652FC" w:rsidRPr="004D2014" w:rsidRDefault="00C652FC">
            <w:pPr>
              <w:spacing w:after="0"/>
              <w:rPr>
                <w:rFonts w:ascii="Calibri" w:hAnsi="Calibri" w:cs="Calibri"/>
                <w:i/>
                <w:iCs/>
              </w:rPr>
            </w:pPr>
          </w:p>
        </w:tc>
        <w:tc>
          <w:tcPr>
            <w:tcW w:w="3674" w:type="dxa"/>
            <w:tcBorders>
              <w:top w:val="single" w:sz="4" w:space="0" w:color="B8C8D0"/>
              <w:left w:val="single" w:sz="4" w:space="0" w:color="B8C8D0"/>
              <w:bottom w:val="single" w:sz="4" w:space="0" w:color="B8C8D0"/>
              <w:right w:val="single" w:sz="4" w:space="0" w:color="B8C8D0"/>
            </w:tcBorders>
            <w:shd w:val="clear" w:color="auto" w:fill="D9E6EC"/>
            <w:vAlign w:val="center"/>
          </w:tcPr>
          <w:p w14:paraId="5D212A50" w14:textId="3846055C" w:rsidR="00C652FC" w:rsidRPr="004D2014" w:rsidRDefault="004D2014">
            <w:pPr>
              <w:spacing w:after="0"/>
              <w:rPr>
                <w:rFonts w:ascii="Calibri" w:hAnsi="Calibri" w:cs="Calibri"/>
                <w:i/>
                <w:iCs/>
              </w:rPr>
            </w:pPr>
            <w:r>
              <w:rPr>
                <w:rFonts w:ascii="Calibri" w:hAnsi="Calibri" w:cs="Calibri"/>
                <w:i/>
                <w:iCs/>
              </w:rPr>
              <w:t>Informal discussion</w:t>
            </w:r>
          </w:p>
        </w:tc>
      </w:tr>
    </w:tbl>
    <w:p w14:paraId="2AEE79BD" w14:textId="77777777" w:rsidR="00C652FC" w:rsidRDefault="00C652FC">
      <w:pPr>
        <w:spacing w:after="0"/>
        <w:rPr>
          <w:rFonts w:ascii="Calibri" w:hAnsi="Calibri" w:cs="Calibri"/>
        </w:rPr>
      </w:pPr>
    </w:p>
    <w:p w14:paraId="366B9B77" w14:textId="6BD466AE" w:rsidR="000C66D6" w:rsidRDefault="000C66D6" w:rsidP="000C66D6">
      <w:pPr>
        <w:pStyle w:val="Ttulo1"/>
      </w:pPr>
      <w:r>
        <w:rPr>
          <w:rFonts w:cs="Calibri"/>
        </w:rPr>
        <w:t xml:space="preserve">Day 3 — </w:t>
      </w:r>
      <w:r w:rsidRPr="006623F0">
        <w:rPr>
          <w:rFonts w:cs="Calibri"/>
          <w:lang w:val="en-GB"/>
        </w:rPr>
        <w:t>Building a development roadmap</w:t>
      </w:r>
      <w:r w:rsidR="004D2014">
        <w:rPr>
          <w:rFonts w:cs="Calibri"/>
          <w:lang w:val="en-GB"/>
        </w:rPr>
        <w:t>:</w:t>
      </w:r>
      <w:r w:rsidRPr="006623F0">
        <w:rPr>
          <w:rFonts w:cs="Calibri"/>
          <w:lang w:val="en-GB"/>
        </w:rPr>
        <w:t xml:space="preserve"> </w:t>
      </w:r>
      <w:r w:rsidR="004D2014">
        <w:rPr>
          <w:rFonts w:cs="Calibri"/>
          <w:lang w:val="en-GB"/>
        </w:rPr>
        <w:t>from gaps to action</w:t>
      </w:r>
    </w:p>
    <w:tbl>
      <w:tblPr>
        <w:tblW w:w="9864" w:type="dxa"/>
        <w:jc w:val="center"/>
        <w:tblCellMar>
          <w:top w:w="90" w:type="dxa"/>
          <w:left w:w="110" w:type="dxa"/>
          <w:bottom w:w="90" w:type="dxa"/>
          <w:right w:w="110" w:type="dxa"/>
        </w:tblCellMar>
        <w:tblLook w:val="04A0" w:firstRow="1" w:lastRow="0" w:firstColumn="1" w:lastColumn="0" w:noHBand="0" w:noVBand="1"/>
      </w:tblPr>
      <w:tblGrid>
        <w:gridCol w:w="1224"/>
        <w:gridCol w:w="3167"/>
        <w:gridCol w:w="1799"/>
        <w:gridCol w:w="3674"/>
      </w:tblGrid>
      <w:tr w:rsidR="000C66D6" w14:paraId="482C7B04" w14:textId="77777777" w:rsidTr="005B2AE5">
        <w:trPr>
          <w:cantSplit/>
          <w:tblHeader/>
          <w:jc w:val="center"/>
        </w:trPr>
        <w:tc>
          <w:tcPr>
            <w:tcW w:w="1224" w:type="dxa"/>
            <w:tcBorders>
              <w:top w:val="single" w:sz="4" w:space="0" w:color="B8C8D0"/>
              <w:left w:val="single" w:sz="4" w:space="0" w:color="B8C8D0"/>
              <w:bottom w:val="single" w:sz="4" w:space="0" w:color="B8C8D0"/>
              <w:right w:val="single" w:sz="4" w:space="0" w:color="B8C8D0"/>
            </w:tcBorders>
            <w:shd w:val="clear" w:color="auto" w:fill="17365D"/>
            <w:vAlign w:val="center"/>
          </w:tcPr>
          <w:p w14:paraId="5937F647" w14:textId="77777777" w:rsidR="000C66D6" w:rsidRDefault="000C66D6" w:rsidP="005B2AE5">
            <w:pPr>
              <w:spacing w:after="0"/>
              <w:rPr>
                <w:rFonts w:ascii="Calibri" w:hAnsi="Calibri" w:cs="Calibri"/>
              </w:rPr>
            </w:pPr>
            <w:r>
              <w:rPr>
                <w:rFonts w:ascii="Calibri" w:hAnsi="Calibri" w:cs="Calibri"/>
                <w:b/>
                <w:color w:val="FFFFFF"/>
                <w:sz w:val="18"/>
              </w:rPr>
              <w:t>Time</w:t>
            </w:r>
          </w:p>
        </w:tc>
        <w:tc>
          <w:tcPr>
            <w:tcW w:w="3167" w:type="dxa"/>
            <w:tcBorders>
              <w:top w:val="single" w:sz="4" w:space="0" w:color="B8C8D0"/>
              <w:left w:val="single" w:sz="4" w:space="0" w:color="B8C8D0"/>
              <w:bottom w:val="single" w:sz="4" w:space="0" w:color="B8C8D0"/>
              <w:right w:val="single" w:sz="4" w:space="0" w:color="B8C8D0"/>
            </w:tcBorders>
            <w:shd w:val="clear" w:color="auto" w:fill="17365D"/>
            <w:vAlign w:val="center"/>
          </w:tcPr>
          <w:p w14:paraId="52EFD7A9" w14:textId="77777777" w:rsidR="000C66D6" w:rsidRDefault="000C66D6" w:rsidP="005B2AE5">
            <w:pPr>
              <w:spacing w:after="0"/>
              <w:rPr>
                <w:rFonts w:ascii="Calibri" w:hAnsi="Calibri" w:cs="Calibri"/>
              </w:rPr>
            </w:pPr>
            <w:r>
              <w:rPr>
                <w:rFonts w:ascii="Calibri" w:hAnsi="Calibri" w:cs="Calibri"/>
                <w:b/>
                <w:color w:val="FFFFFF"/>
                <w:sz w:val="18"/>
              </w:rPr>
              <w:t>Session</w:t>
            </w:r>
          </w:p>
        </w:tc>
        <w:tc>
          <w:tcPr>
            <w:tcW w:w="1799" w:type="dxa"/>
            <w:tcBorders>
              <w:top w:val="single" w:sz="4" w:space="0" w:color="B8C8D0"/>
              <w:left w:val="single" w:sz="4" w:space="0" w:color="B8C8D0"/>
              <w:bottom w:val="single" w:sz="4" w:space="0" w:color="B8C8D0"/>
              <w:right w:val="single" w:sz="4" w:space="0" w:color="B8C8D0"/>
            </w:tcBorders>
            <w:shd w:val="clear" w:color="auto" w:fill="17365D"/>
            <w:vAlign w:val="center"/>
          </w:tcPr>
          <w:p w14:paraId="56314E60" w14:textId="77777777" w:rsidR="000C66D6" w:rsidRDefault="000C66D6" w:rsidP="005B2AE5">
            <w:pPr>
              <w:spacing w:after="0"/>
              <w:rPr>
                <w:rFonts w:ascii="Calibri" w:hAnsi="Calibri" w:cs="Calibri"/>
              </w:rPr>
            </w:pPr>
            <w:r>
              <w:rPr>
                <w:rFonts w:ascii="Calibri" w:hAnsi="Calibri" w:cs="Calibri"/>
                <w:b/>
                <w:color w:val="FFFFFF"/>
                <w:sz w:val="18"/>
              </w:rPr>
              <w:t>Format</w:t>
            </w:r>
          </w:p>
        </w:tc>
        <w:tc>
          <w:tcPr>
            <w:tcW w:w="3674" w:type="dxa"/>
            <w:tcBorders>
              <w:top w:val="single" w:sz="4" w:space="0" w:color="B8C8D0"/>
              <w:left w:val="single" w:sz="4" w:space="0" w:color="B8C8D0"/>
              <w:bottom w:val="single" w:sz="4" w:space="0" w:color="B8C8D0"/>
              <w:right w:val="single" w:sz="4" w:space="0" w:color="B8C8D0"/>
            </w:tcBorders>
            <w:shd w:val="clear" w:color="auto" w:fill="17365D"/>
            <w:vAlign w:val="center"/>
          </w:tcPr>
          <w:p w14:paraId="3C98ACDD" w14:textId="77777777" w:rsidR="000C66D6" w:rsidRDefault="000C66D6" w:rsidP="005B2AE5">
            <w:pPr>
              <w:spacing w:after="0"/>
              <w:rPr>
                <w:rFonts w:ascii="Calibri" w:hAnsi="Calibri" w:cs="Calibri"/>
              </w:rPr>
            </w:pPr>
            <w:r>
              <w:rPr>
                <w:rFonts w:ascii="Calibri" w:hAnsi="Calibri" w:cs="Calibri"/>
                <w:b/>
                <w:color w:val="FFFFFF"/>
                <w:sz w:val="18"/>
              </w:rPr>
              <w:t>Purpose / intended result</w:t>
            </w:r>
          </w:p>
        </w:tc>
      </w:tr>
      <w:tr w:rsidR="000C66D6" w14:paraId="54916BE9" w14:textId="77777777" w:rsidTr="005B2AE5">
        <w:trPr>
          <w:cantSplit/>
          <w:jc w:val="center"/>
        </w:trPr>
        <w:tc>
          <w:tcPr>
            <w:tcW w:w="1224" w:type="dxa"/>
            <w:tcBorders>
              <w:top w:val="single" w:sz="4" w:space="0" w:color="B8C8D0"/>
              <w:left w:val="single" w:sz="4" w:space="0" w:color="B8C8D0"/>
              <w:bottom w:val="single" w:sz="4" w:space="0" w:color="B8C8D0"/>
              <w:right w:val="single" w:sz="4" w:space="0" w:color="B8C8D0"/>
            </w:tcBorders>
            <w:vAlign w:val="center"/>
          </w:tcPr>
          <w:p w14:paraId="6D783565" w14:textId="77777777" w:rsidR="000C66D6" w:rsidRDefault="000C66D6" w:rsidP="005B2AE5">
            <w:pPr>
              <w:spacing w:after="0"/>
              <w:rPr>
                <w:rFonts w:ascii="Calibri" w:hAnsi="Calibri" w:cs="Calibri"/>
              </w:rPr>
            </w:pPr>
            <w:r>
              <w:rPr>
                <w:rFonts w:ascii="Calibri" w:hAnsi="Calibri" w:cs="Calibri"/>
                <w:sz w:val="17"/>
              </w:rPr>
              <w:t>09:00–09:20</w:t>
            </w:r>
          </w:p>
        </w:tc>
        <w:tc>
          <w:tcPr>
            <w:tcW w:w="3167" w:type="dxa"/>
            <w:tcBorders>
              <w:top w:val="single" w:sz="4" w:space="0" w:color="B8C8D0"/>
              <w:left w:val="single" w:sz="4" w:space="0" w:color="B8C8D0"/>
              <w:bottom w:val="single" w:sz="4" w:space="0" w:color="B8C8D0"/>
              <w:right w:val="single" w:sz="4" w:space="0" w:color="B8C8D0"/>
            </w:tcBorders>
            <w:vAlign w:val="center"/>
          </w:tcPr>
          <w:p w14:paraId="37A567F1" w14:textId="77777777" w:rsidR="000C66D6" w:rsidRDefault="000C66D6" w:rsidP="005B2AE5">
            <w:pPr>
              <w:spacing w:after="0"/>
              <w:rPr>
                <w:rFonts w:ascii="Calibri" w:hAnsi="Calibri" w:cs="Calibri"/>
              </w:rPr>
            </w:pPr>
            <w:r>
              <w:rPr>
                <w:rFonts w:ascii="Calibri" w:hAnsi="Calibri" w:cs="Calibri"/>
                <w:sz w:val="17"/>
              </w:rPr>
              <w:t>Recap and check-in</w:t>
            </w:r>
          </w:p>
        </w:tc>
        <w:tc>
          <w:tcPr>
            <w:tcW w:w="1799" w:type="dxa"/>
            <w:tcBorders>
              <w:top w:val="single" w:sz="4" w:space="0" w:color="B8C8D0"/>
              <w:left w:val="single" w:sz="4" w:space="0" w:color="B8C8D0"/>
              <w:bottom w:val="single" w:sz="4" w:space="0" w:color="B8C8D0"/>
              <w:right w:val="single" w:sz="4" w:space="0" w:color="B8C8D0"/>
            </w:tcBorders>
            <w:vAlign w:val="center"/>
          </w:tcPr>
          <w:p w14:paraId="5F9152F4" w14:textId="77777777" w:rsidR="000C66D6" w:rsidRDefault="000C66D6" w:rsidP="005B2AE5">
            <w:pPr>
              <w:spacing w:after="0"/>
              <w:rPr>
                <w:rFonts w:ascii="Calibri" w:hAnsi="Calibri" w:cs="Calibri"/>
              </w:rPr>
            </w:pPr>
            <w:r>
              <w:rPr>
                <w:rFonts w:ascii="Calibri" w:hAnsi="Calibri" w:cs="Calibri"/>
                <w:sz w:val="17"/>
              </w:rPr>
              <w:t>Plenary</w:t>
            </w:r>
          </w:p>
        </w:tc>
        <w:tc>
          <w:tcPr>
            <w:tcW w:w="3674" w:type="dxa"/>
            <w:tcBorders>
              <w:top w:val="single" w:sz="4" w:space="0" w:color="B8C8D0"/>
              <w:left w:val="single" w:sz="4" w:space="0" w:color="B8C8D0"/>
              <w:bottom w:val="single" w:sz="4" w:space="0" w:color="B8C8D0"/>
              <w:right w:val="single" w:sz="4" w:space="0" w:color="B8C8D0"/>
            </w:tcBorders>
            <w:vAlign w:val="center"/>
          </w:tcPr>
          <w:p w14:paraId="652842A4" w14:textId="77777777" w:rsidR="000C66D6" w:rsidRDefault="000C66D6" w:rsidP="005B2AE5">
            <w:pPr>
              <w:spacing w:after="0"/>
              <w:rPr>
                <w:rFonts w:ascii="Calibri" w:hAnsi="Calibri" w:cs="Calibri"/>
              </w:rPr>
            </w:pPr>
            <w:r>
              <w:rPr>
                <w:rFonts w:ascii="Calibri" w:hAnsi="Calibri" w:cs="Calibri"/>
                <w:sz w:val="17"/>
              </w:rPr>
              <w:t>Confirm Day 1 conclusions and the requirements to be assessed.</w:t>
            </w:r>
          </w:p>
        </w:tc>
      </w:tr>
      <w:tr w:rsidR="00A734A7" w14:paraId="68435DF9" w14:textId="77777777" w:rsidTr="00A734A7">
        <w:trPr>
          <w:cantSplit/>
          <w:jc w:val="center"/>
        </w:trPr>
        <w:tc>
          <w:tcPr>
            <w:tcW w:w="1224" w:type="dxa"/>
            <w:tcBorders>
              <w:top w:val="single" w:sz="4" w:space="0" w:color="B8C8D0"/>
              <w:left w:val="single" w:sz="4" w:space="0" w:color="B8C8D0"/>
              <w:bottom w:val="single" w:sz="4" w:space="0" w:color="B8C8D0"/>
              <w:right w:val="single" w:sz="4" w:space="0" w:color="B8C8D0"/>
            </w:tcBorders>
            <w:vAlign w:val="center"/>
          </w:tcPr>
          <w:p w14:paraId="55A4642A" w14:textId="5C063788" w:rsidR="00A734A7" w:rsidRPr="00A734A7" w:rsidRDefault="00A734A7" w:rsidP="00DA5870">
            <w:pPr>
              <w:spacing w:after="0"/>
              <w:rPr>
                <w:rFonts w:ascii="Calibri" w:hAnsi="Calibri" w:cs="Calibri"/>
                <w:sz w:val="17"/>
              </w:rPr>
            </w:pPr>
            <w:r>
              <w:rPr>
                <w:rFonts w:ascii="Calibri" w:hAnsi="Calibri" w:cs="Calibri"/>
                <w:sz w:val="17"/>
              </w:rPr>
              <w:t>09:20-</w:t>
            </w:r>
            <w:r w:rsidR="00653D6A">
              <w:rPr>
                <w:rFonts w:ascii="Calibri" w:hAnsi="Calibri" w:cs="Calibri"/>
                <w:sz w:val="17"/>
              </w:rPr>
              <w:t>10:50</w:t>
            </w:r>
          </w:p>
        </w:tc>
        <w:tc>
          <w:tcPr>
            <w:tcW w:w="3167" w:type="dxa"/>
            <w:tcBorders>
              <w:top w:val="single" w:sz="4" w:space="0" w:color="B8C8D0"/>
              <w:left w:val="single" w:sz="4" w:space="0" w:color="B8C8D0"/>
              <w:bottom w:val="single" w:sz="4" w:space="0" w:color="B8C8D0"/>
              <w:right w:val="single" w:sz="4" w:space="0" w:color="B8C8D0"/>
            </w:tcBorders>
            <w:vAlign w:val="center"/>
          </w:tcPr>
          <w:p w14:paraId="1EA371FB" w14:textId="1959FA68" w:rsidR="00A734A7" w:rsidRPr="00A734A7" w:rsidRDefault="00A734A7" w:rsidP="00DA5870">
            <w:pPr>
              <w:spacing w:after="0"/>
              <w:rPr>
                <w:rFonts w:ascii="Calibri" w:hAnsi="Calibri" w:cs="Calibri"/>
                <w:sz w:val="17"/>
              </w:rPr>
            </w:pPr>
            <w:r>
              <w:rPr>
                <w:rFonts w:ascii="Calibri" w:hAnsi="Calibri" w:cs="Calibri"/>
                <w:sz w:val="17"/>
              </w:rPr>
              <w:t xml:space="preserve">Focus Session 4: </w:t>
            </w:r>
            <w:r w:rsidR="00FC3AE4">
              <w:rPr>
                <w:rFonts w:ascii="Calibri" w:hAnsi="Calibri" w:cs="Calibri"/>
                <w:sz w:val="17"/>
              </w:rPr>
              <w:t>From capability gaps to development priorities</w:t>
            </w:r>
            <w:r>
              <w:rPr>
                <w:rFonts w:ascii="Calibri" w:hAnsi="Calibri" w:cs="Calibri"/>
                <w:sz w:val="17"/>
              </w:rPr>
              <w:t>?</w:t>
            </w:r>
          </w:p>
        </w:tc>
        <w:tc>
          <w:tcPr>
            <w:tcW w:w="1799" w:type="dxa"/>
            <w:tcBorders>
              <w:top w:val="single" w:sz="4" w:space="0" w:color="B8C8D0"/>
              <w:left w:val="single" w:sz="4" w:space="0" w:color="B8C8D0"/>
              <w:bottom w:val="single" w:sz="4" w:space="0" w:color="B8C8D0"/>
              <w:right w:val="single" w:sz="4" w:space="0" w:color="B8C8D0"/>
            </w:tcBorders>
            <w:vAlign w:val="center"/>
          </w:tcPr>
          <w:p w14:paraId="7F587209" w14:textId="77777777" w:rsidR="00A734A7" w:rsidRPr="00A734A7" w:rsidRDefault="00A734A7" w:rsidP="00DA5870">
            <w:pPr>
              <w:spacing w:after="0"/>
              <w:rPr>
                <w:rFonts w:ascii="Calibri" w:hAnsi="Calibri" w:cs="Calibri"/>
                <w:sz w:val="17"/>
              </w:rPr>
            </w:pPr>
            <w:r>
              <w:rPr>
                <w:rFonts w:ascii="Calibri" w:hAnsi="Calibri" w:cs="Calibri"/>
                <w:sz w:val="17"/>
              </w:rPr>
              <w:t>Focus groups + report-back</w:t>
            </w:r>
          </w:p>
        </w:tc>
        <w:tc>
          <w:tcPr>
            <w:tcW w:w="3674" w:type="dxa"/>
            <w:tcBorders>
              <w:top w:val="single" w:sz="4" w:space="0" w:color="B8C8D0"/>
              <w:left w:val="single" w:sz="4" w:space="0" w:color="B8C8D0"/>
              <w:bottom w:val="single" w:sz="4" w:space="0" w:color="B8C8D0"/>
              <w:right w:val="single" w:sz="4" w:space="0" w:color="B8C8D0"/>
            </w:tcBorders>
            <w:vAlign w:val="center"/>
          </w:tcPr>
          <w:p w14:paraId="7F1BCAE3" w14:textId="77777777" w:rsidR="00A734A7" w:rsidRPr="00A734A7" w:rsidRDefault="00A734A7" w:rsidP="00DA5870">
            <w:pPr>
              <w:spacing w:after="0"/>
              <w:rPr>
                <w:rFonts w:ascii="Calibri" w:hAnsi="Calibri" w:cs="Calibri"/>
                <w:sz w:val="17"/>
              </w:rPr>
            </w:pPr>
            <w:r>
              <w:rPr>
                <w:rFonts w:ascii="Calibri" w:hAnsi="Calibri" w:cs="Calibri"/>
                <w:sz w:val="17"/>
              </w:rPr>
              <w:t>Convert the capability and evidence gaps into bounded candidate actions.</w:t>
            </w:r>
          </w:p>
        </w:tc>
      </w:tr>
      <w:tr w:rsidR="00653D6A" w14:paraId="01641BE1" w14:textId="77777777" w:rsidTr="005B2AE5">
        <w:trPr>
          <w:cantSplit/>
          <w:jc w:val="center"/>
        </w:trPr>
        <w:tc>
          <w:tcPr>
            <w:tcW w:w="1224" w:type="dxa"/>
            <w:tcBorders>
              <w:top w:val="single" w:sz="4" w:space="0" w:color="B8C8D0"/>
              <w:left w:val="single" w:sz="4" w:space="0" w:color="B8C8D0"/>
              <w:bottom w:val="single" w:sz="4" w:space="0" w:color="B8C8D0"/>
              <w:right w:val="single" w:sz="4" w:space="0" w:color="B8C8D0"/>
            </w:tcBorders>
            <w:shd w:val="clear" w:color="auto" w:fill="D9E6EC"/>
            <w:vAlign w:val="center"/>
          </w:tcPr>
          <w:p w14:paraId="12F4174F" w14:textId="6394B6CD" w:rsidR="00653D6A" w:rsidRDefault="00653D6A" w:rsidP="005B2AE5">
            <w:pPr>
              <w:spacing w:after="0"/>
              <w:rPr>
                <w:rFonts w:ascii="Calibri" w:hAnsi="Calibri" w:cs="Calibri"/>
              </w:rPr>
            </w:pPr>
            <w:r>
              <w:rPr>
                <w:rFonts w:ascii="Calibri" w:hAnsi="Calibri" w:cs="Calibri"/>
                <w:i/>
                <w:color w:val="5C6670"/>
                <w:sz w:val="17"/>
              </w:rPr>
              <w:t>10:50-11:10</w:t>
            </w:r>
          </w:p>
        </w:tc>
        <w:tc>
          <w:tcPr>
            <w:tcW w:w="3167" w:type="dxa"/>
            <w:tcBorders>
              <w:top w:val="single" w:sz="4" w:space="0" w:color="B8C8D0"/>
              <w:left w:val="single" w:sz="4" w:space="0" w:color="B8C8D0"/>
              <w:bottom w:val="single" w:sz="4" w:space="0" w:color="B8C8D0"/>
              <w:right w:val="single" w:sz="4" w:space="0" w:color="B8C8D0"/>
            </w:tcBorders>
            <w:shd w:val="clear" w:color="auto" w:fill="D9E6EC"/>
            <w:vAlign w:val="center"/>
          </w:tcPr>
          <w:p w14:paraId="392EEA7F" w14:textId="77777777" w:rsidR="00653D6A" w:rsidRDefault="00653D6A" w:rsidP="005B2AE5">
            <w:pPr>
              <w:spacing w:after="0"/>
              <w:rPr>
                <w:rFonts w:ascii="Calibri" w:hAnsi="Calibri" w:cs="Calibri"/>
              </w:rPr>
            </w:pPr>
            <w:r>
              <w:rPr>
                <w:rFonts w:ascii="Calibri" w:hAnsi="Calibri" w:cs="Calibri"/>
                <w:i/>
                <w:color w:val="5C6670"/>
                <w:sz w:val="17"/>
              </w:rPr>
              <w:t>Coffee break</w:t>
            </w:r>
          </w:p>
        </w:tc>
        <w:tc>
          <w:tcPr>
            <w:tcW w:w="1799" w:type="dxa"/>
            <w:tcBorders>
              <w:top w:val="single" w:sz="4" w:space="0" w:color="B8C8D0"/>
              <w:left w:val="single" w:sz="4" w:space="0" w:color="B8C8D0"/>
              <w:bottom w:val="single" w:sz="4" w:space="0" w:color="B8C8D0"/>
              <w:right w:val="single" w:sz="4" w:space="0" w:color="B8C8D0"/>
            </w:tcBorders>
            <w:shd w:val="clear" w:color="auto" w:fill="D9E6EC"/>
            <w:vAlign w:val="center"/>
          </w:tcPr>
          <w:p w14:paraId="57E6D7D6" w14:textId="77777777" w:rsidR="00653D6A" w:rsidRDefault="00653D6A" w:rsidP="005B2AE5">
            <w:pPr>
              <w:spacing w:after="0"/>
              <w:rPr>
                <w:rFonts w:ascii="Calibri" w:hAnsi="Calibri" w:cs="Calibri"/>
              </w:rPr>
            </w:pPr>
          </w:p>
        </w:tc>
        <w:tc>
          <w:tcPr>
            <w:tcW w:w="3674" w:type="dxa"/>
            <w:tcBorders>
              <w:top w:val="single" w:sz="4" w:space="0" w:color="B8C8D0"/>
              <w:left w:val="single" w:sz="4" w:space="0" w:color="B8C8D0"/>
              <w:bottom w:val="single" w:sz="4" w:space="0" w:color="B8C8D0"/>
              <w:right w:val="single" w:sz="4" w:space="0" w:color="B8C8D0"/>
            </w:tcBorders>
            <w:shd w:val="clear" w:color="auto" w:fill="D9E6EC"/>
            <w:vAlign w:val="center"/>
          </w:tcPr>
          <w:p w14:paraId="4DF31471" w14:textId="77777777" w:rsidR="00653D6A" w:rsidRDefault="00653D6A" w:rsidP="005B2AE5">
            <w:pPr>
              <w:spacing w:after="0"/>
              <w:rPr>
                <w:rFonts w:ascii="Calibri" w:hAnsi="Calibri" w:cs="Calibri"/>
              </w:rPr>
            </w:pPr>
          </w:p>
        </w:tc>
      </w:tr>
      <w:tr w:rsidR="00A734A7" w14:paraId="3F13299C" w14:textId="77777777" w:rsidTr="00A734A7">
        <w:trPr>
          <w:cantSplit/>
          <w:jc w:val="center"/>
        </w:trPr>
        <w:tc>
          <w:tcPr>
            <w:tcW w:w="1224" w:type="dxa"/>
            <w:tcBorders>
              <w:top w:val="single" w:sz="4" w:space="0" w:color="B8C8D0"/>
              <w:left w:val="single" w:sz="4" w:space="0" w:color="B8C8D0"/>
              <w:bottom w:val="single" w:sz="4" w:space="0" w:color="B8C8D0"/>
              <w:right w:val="single" w:sz="4" w:space="0" w:color="B8C8D0"/>
            </w:tcBorders>
            <w:vAlign w:val="center"/>
          </w:tcPr>
          <w:p w14:paraId="30883A3B" w14:textId="39D7711F" w:rsidR="00A734A7" w:rsidRPr="00A734A7" w:rsidRDefault="00653D6A" w:rsidP="00DA5870">
            <w:pPr>
              <w:spacing w:after="0"/>
              <w:rPr>
                <w:rFonts w:ascii="Calibri" w:hAnsi="Calibri" w:cs="Calibri"/>
                <w:sz w:val="17"/>
              </w:rPr>
            </w:pPr>
            <w:r>
              <w:rPr>
                <w:rFonts w:ascii="Calibri" w:hAnsi="Calibri" w:cs="Calibri"/>
                <w:sz w:val="17"/>
              </w:rPr>
              <w:t>11:10-1</w:t>
            </w:r>
            <w:r w:rsidR="008C2043">
              <w:rPr>
                <w:rFonts w:ascii="Calibri" w:hAnsi="Calibri" w:cs="Calibri"/>
                <w:sz w:val="17"/>
              </w:rPr>
              <w:t>2:10</w:t>
            </w:r>
          </w:p>
        </w:tc>
        <w:tc>
          <w:tcPr>
            <w:tcW w:w="3167" w:type="dxa"/>
            <w:tcBorders>
              <w:top w:val="single" w:sz="4" w:space="0" w:color="B8C8D0"/>
              <w:left w:val="single" w:sz="4" w:space="0" w:color="B8C8D0"/>
              <w:bottom w:val="single" w:sz="4" w:space="0" w:color="B8C8D0"/>
              <w:right w:val="single" w:sz="4" w:space="0" w:color="B8C8D0"/>
            </w:tcBorders>
            <w:vAlign w:val="center"/>
          </w:tcPr>
          <w:p w14:paraId="752EC272" w14:textId="77777777" w:rsidR="00A734A7" w:rsidRPr="00A734A7" w:rsidRDefault="00A734A7" w:rsidP="00DA5870">
            <w:pPr>
              <w:spacing w:after="0"/>
              <w:rPr>
                <w:rFonts w:ascii="Calibri" w:hAnsi="Calibri" w:cs="Calibri"/>
                <w:sz w:val="17"/>
              </w:rPr>
            </w:pPr>
            <w:r>
              <w:rPr>
                <w:rFonts w:ascii="Calibri" w:hAnsi="Calibri" w:cs="Calibri"/>
                <w:sz w:val="17"/>
              </w:rPr>
              <w:t>From findings to action</w:t>
            </w:r>
          </w:p>
        </w:tc>
        <w:tc>
          <w:tcPr>
            <w:tcW w:w="1799" w:type="dxa"/>
            <w:tcBorders>
              <w:top w:val="single" w:sz="4" w:space="0" w:color="B8C8D0"/>
              <w:left w:val="single" w:sz="4" w:space="0" w:color="B8C8D0"/>
              <w:bottom w:val="single" w:sz="4" w:space="0" w:color="B8C8D0"/>
              <w:right w:val="single" w:sz="4" w:space="0" w:color="B8C8D0"/>
            </w:tcBorders>
            <w:vAlign w:val="center"/>
          </w:tcPr>
          <w:p w14:paraId="1DE68787" w14:textId="77777777" w:rsidR="00A734A7" w:rsidRPr="00A734A7" w:rsidRDefault="00A734A7" w:rsidP="00DA5870">
            <w:pPr>
              <w:spacing w:after="0"/>
              <w:rPr>
                <w:rFonts w:ascii="Calibri" w:hAnsi="Calibri" w:cs="Calibri"/>
                <w:sz w:val="17"/>
              </w:rPr>
            </w:pPr>
            <w:r>
              <w:rPr>
                <w:rFonts w:ascii="Calibri" w:hAnsi="Calibri" w:cs="Calibri"/>
                <w:sz w:val="17"/>
              </w:rPr>
              <w:t>Full-group working session</w:t>
            </w:r>
          </w:p>
        </w:tc>
        <w:tc>
          <w:tcPr>
            <w:tcW w:w="3674" w:type="dxa"/>
            <w:tcBorders>
              <w:top w:val="single" w:sz="4" w:space="0" w:color="B8C8D0"/>
              <w:left w:val="single" w:sz="4" w:space="0" w:color="B8C8D0"/>
              <w:bottom w:val="single" w:sz="4" w:space="0" w:color="B8C8D0"/>
              <w:right w:val="single" w:sz="4" w:space="0" w:color="B8C8D0"/>
            </w:tcBorders>
            <w:vAlign w:val="center"/>
          </w:tcPr>
          <w:p w14:paraId="2FEA001D" w14:textId="77777777" w:rsidR="00A734A7" w:rsidRPr="00A734A7" w:rsidRDefault="00A734A7" w:rsidP="00DA5870">
            <w:pPr>
              <w:spacing w:after="0"/>
              <w:rPr>
                <w:rFonts w:ascii="Calibri" w:hAnsi="Calibri" w:cs="Calibri"/>
                <w:sz w:val="17"/>
              </w:rPr>
            </w:pPr>
            <w:r>
              <w:rPr>
                <w:rFonts w:ascii="Calibri" w:hAnsi="Calibri" w:cs="Calibri"/>
                <w:sz w:val="17"/>
              </w:rPr>
              <w:t>Select three to five priority tasks and define outputs, success criteria, provisional owners, partners and milestones.</w:t>
            </w:r>
          </w:p>
        </w:tc>
      </w:tr>
      <w:tr w:rsidR="00A734A7" w14:paraId="61A383D3" w14:textId="77777777" w:rsidTr="00A734A7">
        <w:trPr>
          <w:cantSplit/>
          <w:jc w:val="center"/>
        </w:trPr>
        <w:tc>
          <w:tcPr>
            <w:tcW w:w="1224" w:type="dxa"/>
            <w:tcBorders>
              <w:top w:val="single" w:sz="4" w:space="0" w:color="B8C8D0"/>
              <w:left w:val="single" w:sz="4" w:space="0" w:color="B8C8D0"/>
              <w:bottom w:val="single" w:sz="4" w:space="0" w:color="B8C8D0"/>
              <w:right w:val="single" w:sz="4" w:space="0" w:color="B8C8D0"/>
            </w:tcBorders>
            <w:vAlign w:val="center"/>
          </w:tcPr>
          <w:p w14:paraId="5D300DAD" w14:textId="5294001B" w:rsidR="00A734A7" w:rsidRPr="00A734A7" w:rsidRDefault="008C2043" w:rsidP="00DA5870">
            <w:pPr>
              <w:spacing w:after="0"/>
              <w:rPr>
                <w:rFonts w:ascii="Calibri" w:hAnsi="Calibri" w:cs="Calibri"/>
                <w:sz w:val="17"/>
              </w:rPr>
            </w:pPr>
            <w:r>
              <w:rPr>
                <w:rFonts w:ascii="Calibri" w:hAnsi="Calibri" w:cs="Calibri"/>
                <w:sz w:val="17"/>
              </w:rPr>
              <w:t>12:10-12:30</w:t>
            </w:r>
          </w:p>
        </w:tc>
        <w:tc>
          <w:tcPr>
            <w:tcW w:w="3167" w:type="dxa"/>
            <w:tcBorders>
              <w:top w:val="single" w:sz="4" w:space="0" w:color="B8C8D0"/>
              <w:left w:val="single" w:sz="4" w:space="0" w:color="B8C8D0"/>
              <w:bottom w:val="single" w:sz="4" w:space="0" w:color="B8C8D0"/>
              <w:right w:val="single" w:sz="4" w:space="0" w:color="B8C8D0"/>
            </w:tcBorders>
            <w:vAlign w:val="center"/>
          </w:tcPr>
          <w:p w14:paraId="1789950B" w14:textId="77777777" w:rsidR="00A734A7" w:rsidRPr="00A734A7" w:rsidRDefault="00A734A7" w:rsidP="00DA5870">
            <w:pPr>
              <w:spacing w:after="0"/>
              <w:rPr>
                <w:rFonts w:ascii="Calibri" w:hAnsi="Calibri" w:cs="Calibri"/>
                <w:sz w:val="17"/>
              </w:rPr>
            </w:pPr>
            <w:r>
              <w:rPr>
                <w:rFonts w:ascii="Calibri" w:hAnsi="Calibri" w:cs="Calibri"/>
                <w:sz w:val="17"/>
              </w:rPr>
              <w:t>Conclusions and next steps</w:t>
            </w:r>
          </w:p>
        </w:tc>
        <w:tc>
          <w:tcPr>
            <w:tcW w:w="1799" w:type="dxa"/>
            <w:tcBorders>
              <w:top w:val="single" w:sz="4" w:space="0" w:color="B8C8D0"/>
              <w:left w:val="single" w:sz="4" w:space="0" w:color="B8C8D0"/>
              <w:bottom w:val="single" w:sz="4" w:space="0" w:color="B8C8D0"/>
              <w:right w:val="single" w:sz="4" w:space="0" w:color="B8C8D0"/>
            </w:tcBorders>
            <w:vAlign w:val="center"/>
          </w:tcPr>
          <w:p w14:paraId="14278FC1" w14:textId="77777777" w:rsidR="00A734A7" w:rsidRPr="00A734A7" w:rsidRDefault="00A734A7" w:rsidP="00DA5870">
            <w:pPr>
              <w:spacing w:after="0"/>
              <w:rPr>
                <w:rFonts w:ascii="Calibri" w:hAnsi="Calibri" w:cs="Calibri"/>
                <w:sz w:val="17"/>
              </w:rPr>
            </w:pPr>
            <w:r>
              <w:rPr>
                <w:rFonts w:ascii="Calibri" w:hAnsi="Calibri" w:cs="Calibri"/>
                <w:sz w:val="17"/>
              </w:rPr>
              <w:t>Plenary decision session</w:t>
            </w:r>
          </w:p>
        </w:tc>
        <w:tc>
          <w:tcPr>
            <w:tcW w:w="3674" w:type="dxa"/>
            <w:tcBorders>
              <w:top w:val="single" w:sz="4" w:space="0" w:color="B8C8D0"/>
              <w:left w:val="single" w:sz="4" w:space="0" w:color="B8C8D0"/>
              <w:bottom w:val="single" w:sz="4" w:space="0" w:color="B8C8D0"/>
              <w:right w:val="single" w:sz="4" w:space="0" w:color="B8C8D0"/>
            </w:tcBorders>
            <w:vAlign w:val="center"/>
          </w:tcPr>
          <w:p w14:paraId="4CC2A0E6" w14:textId="77777777" w:rsidR="00A734A7" w:rsidRPr="00A734A7" w:rsidRDefault="00A734A7" w:rsidP="00DA5870">
            <w:pPr>
              <w:spacing w:after="0"/>
              <w:rPr>
                <w:rFonts w:ascii="Calibri" w:hAnsi="Calibri" w:cs="Calibri"/>
                <w:sz w:val="17"/>
              </w:rPr>
            </w:pPr>
            <w:r>
              <w:rPr>
                <w:rFonts w:ascii="Calibri" w:hAnsi="Calibri" w:cs="Calibri"/>
                <w:sz w:val="17"/>
              </w:rPr>
              <w:t>Agree the collective note, review process, follow-up governance and immediate next steps.</w:t>
            </w:r>
          </w:p>
        </w:tc>
      </w:tr>
    </w:tbl>
    <w:p w14:paraId="3C4822CB" w14:textId="77777777" w:rsidR="000C66D6" w:rsidRDefault="000C66D6">
      <w:pPr>
        <w:spacing w:after="0"/>
        <w:rPr>
          <w:rFonts w:ascii="Calibri" w:hAnsi="Calibri" w:cs="Calibri"/>
        </w:rPr>
      </w:pPr>
    </w:p>
    <w:p w14:paraId="19C11729" w14:textId="77777777" w:rsidR="00C652FC" w:rsidRDefault="00000000">
      <w:pPr>
        <w:pStyle w:val="Ttulo1"/>
        <w:rPr>
          <w:rFonts w:ascii="Calibri" w:hAnsi="Calibri" w:cs="Calibri"/>
        </w:rPr>
      </w:pPr>
      <w:r>
        <w:rPr>
          <w:rFonts w:cs="Calibri"/>
        </w:rPr>
        <w:t>Practical information</w:t>
      </w:r>
    </w:p>
    <w:tbl>
      <w:tblPr>
        <w:tblW w:w="9864" w:type="dxa"/>
        <w:jc w:val="center"/>
        <w:tblCellMar>
          <w:top w:w="90" w:type="dxa"/>
          <w:left w:w="110" w:type="dxa"/>
          <w:bottom w:w="90" w:type="dxa"/>
          <w:right w:w="110" w:type="dxa"/>
        </w:tblCellMar>
        <w:tblLook w:val="04A0" w:firstRow="1" w:lastRow="0" w:firstColumn="1" w:lastColumn="0" w:noHBand="0" w:noVBand="1"/>
      </w:tblPr>
      <w:tblGrid>
        <w:gridCol w:w="2375"/>
        <w:gridCol w:w="7489"/>
      </w:tblGrid>
      <w:tr w:rsidR="00C652FC" w14:paraId="0E7BA71F" w14:textId="77777777" w:rsidTr="005A312E">
        <w:trPr>
          <w:cantSplit/>
          <w:jc w:val="center"/>
        </w:trPr>
        <w:tc>
          <w:tcPr>
            <w:tcW w:w="2375" w:type="dxa"/>
            <w:tcBorders>
              <w:top w:val="single" w:sz="4" w:space="0" w:color="B8C8D0"/>
              <w:left w:val="single" w:sz="4" w:space="0" w:color="B8C8D0"/>
              <w:bottom w:val="single" w:sz="4" w:space="0" w:color="B8C8D0"/>
              <w:right w:val="single" w:sz="4" w:space="0" w:color="B8C8D0"/>
            </w:tcBorders>
            <w:shd w:val="clear" w:color="auto" w:fill="EAF2F5"/>
            <w:vAlign w:val="center"/>
          </w:tcPr>
          <w:p w14:paraId="1FA24F05" w14:textId="77777777" w:rsidR="00C652FC" w:rsidRDefault="00000000">
            <w:pPr>
              <w:spacing w:after="0"/>
              <w:rPr>
                <w:rFonts w:ascii="Calibri" w:hAnsi="Calibri" w:cs="Calibri"/>
              </w:rPr>
            </w:pPr>
            <w:r>
              <w:rPr>
                <w:rFonts w:ascii="Calibri" w:hAnsi="Calibri" w:cs="Calibri"/>
                <w:b/>
                <w:color w:val="17365D"/>
                <w:sz w:val="18"/>
              </w:rPr>
              <w:t>Dates</w:t>
            </w:r>
          </w:p>
        </w:tc>
        <w:tc>
          <w:tcPr>
            <w:tcW w:w="7489" w:type="dxa"/>
            <w:tcBorders>
              <w:top w:val="single" w:sz="4" w:space="0" w:color="B8C8D0"/>
              <w:left w:val="single" w:sz="4" w:space="0" w:color="B8C8D0"/>
              <w:bottom w:val="single" w:sz="4" w:space="0" w:color="B8C8D0"/>
              <w:right w:val="single" w:sz="4" w:space="0" w:color="B8C8D0"/>
            </w:tcBorders>
            <w:vAlign w:val="center"/>
          </w:tcPr>
          <w:p w14:paraId="30BE4577" w14:textId="177A4903" w:rsidR="00C652FC" w:rsidRDefault="002640D3">
            <w:pPr>
              <w:spacing w:after="0"/>
              <w:rPr>
                <w:rFonts w:ascii="Calibri" w:hAnsi="Calibri" w:cs="Calibri"/>
              </w:rPr>
            </w:pPr>
            <w:r>
              <w:rPr>
                <w:rFonts w:ascii="Calibri" w:hAnsi="Calibri" w:cs="Calibri"/>
                <w:sz w:val="18"/>
              </w:rPr>
              <w:t>18-20 November 2026</w:t>
            </w:r>
          </w:p>
        </w:tc>
      </w:tr>
      <w:tr w:rsidR="00C652FC" w14:paraId="2937B86F" w14:textId="77777777" w:rsidTr="005A312E">
        <w:trPr>
          <w:cantSplit/>
          <w:jc w:val="center"/>
        </w:trPr>
        <w:tc>
          <w:tcPr>
            <w:tcW w:w="2375" w:type="dxa"/>
            <w:tcBorders>
              <w:top w:val="single" w:sz="4" w:space="0" w:color="B8C8D0"/>
              <w:left w:val="single" w:sz="4" w:space="0" w:color="B8C8D0"/>
              <w:bottom w:val="single" w:sz="4" w:space="0" w:color="B8C8D0"/>
              <w:right w:val="single" w:sz="4" w:space="0" w:color="B8C8D0"/>
            </w:tcBorders>
            <w:shd w:val="clear" w:color="auto" w:fill="EAF2F5"/>
            <w:vAlign w:val="center"/>
          </w:tcPr>
          <w:p w14:paraId="38C70F47" w14:textId="77777777" w:rsidR="00C652FC" w:rsidRDefault="00000000">
            <w:pPr>
              <w:spacing w:after="0"/>
            </w:pPr>
            <w:r>
              <w:rPr>
                <w:rFonts w:ascii="Calibri" w:hAnsi="Calibri" w:cs="Calibri"/>
                <w:b/>
                <w:color w:val="17365D"/>
                <w:sz w:val="18"/>
              </w:rPr>
              <w:t>Location</w:t>
            </w:r>
          </w:p>
        </w:tc>
        <w:tc>
          <w:tcPr>
            <w:tcW w:w="7489" w:type="dxa"/>
            <w:tcBorders>
              <w:top w:val="single" w:sz="4" w:space="0" w:color="B8C8D0"/>
              <w:left w:val="single" w:sz="4" w:space="0" w:color="B8C8D0"/>
              <w:bottom w:val="single" w:sz="4" w:space="0" w:color="B8C8D0"/>
              <w:right w:val="single" w:sz="4" w:space="0" w:color="B8C8D0"/>
            </w:tcBorders>
            <w:vAlign w:val="center"/>
          </w:tcPr>
          <w:p w14:paraId="47A1E76A" w14:textId="36D90C71" w:rsidR="00C652FC" w:rsidRDefault="00000000">
            <w:pPr>
              <w:spacing w:after="0"/>
              <w:rPr>
                <w:rFonts w:ascii="Calibri" w:hAnsi="Calibri" w:cs="Calibri"/>
              </w:rPr>
            </w:pPr>
            <w:r>
              <w:rPr>
                <w:rFonts w:ascii="Calibri" w:hAnsi="Calibri" w:cs="Calibri"/>
                <w:sz w:val="18"/>
              </w:rPr>
              <w:t>Las Palmas de Gran Canaria, Spain</w:t>
            </w:r>
            <w:r w:rsidR="006623F0">
              <w:rPr>
                <w:rFonts w:ascii="Calibri" w:hAnsi="Calibri" w:cs="Calibri"/>
                <w:sz w:val="18"/>
              </w:rPr>
              <w:t xml:space="preserve">; Venue to be confirmed, details will follow in due course </w:t>
            </w:r>
          </w:p>
        </w:tc>
      </w:tr>
      <w:tr w:rsidR="00C652FC" w14:paraId="29537692" w14:textId="77777777" w:rsidTr="005A312E">
        <w:trPr>
          <w:cantSplit/>
          <w:jc w:val="center"/>
        </w:trPr>
        <w:tc>
          <w:tcPr>
            <w:tcW w:w="2375" w:type="dxa"/>
            <w:tcBorders>
              <w:top w:val="single" w:sz="4" w:space="0" w:color="B8C8D0"/>
              <w:left w:val="single" w:sz="4" w:space="0" w:color="B8C8D0"/>
              <w:bottom w:val="single" w:sz="4" w:space="0" w:color="B8C8D0"/>
              <w:right w:val="single" w:sz="4" w:space="0" w:color="B8C8D0"/>
            </w:tcBorders>
            <w:shd w:val="clear" w:color="auto" w:fill="EAF2F5"/>
            <w:vAlign w:val="center"/>
          </w:tcPr>
          <w:p w14:paraId="59AB3584" w14:textId="77777777" w:rsidR="00C652FC" w:rsidRDefault="00000000">
            <w:pPr>
              <w:spacing w:after="0"/>
              <w:rPr>
                <w:rFonts w:ascii="Calibri" w:hAnsi="Calibri" w:cs="Calibri"/>
              </w:rPr>
            </w:pPr>
            <w:r>
              <w:rPr>
                <w:rFonts w:ascii="Calibri" w:hAnsi="Calibri" w:cs="Calibri"/>
                <w:b/>
                <w:color w:val="17365D"/>
                <w:sz w:val="18"/>
              </w:rPr>
              <w:t>Format</w:t>
            </w:r>
          </w:p>
        </w:tc>
        <w:tc>
          <w:tcPr>
            <w:tcW w:w="7489" w:type="dxa"/>
            <w:tcBorders>
              <w:top w:val="single" w:sz="4" w:space="0" w:color="B8C8D0"/>
              <w:left w:val="single" w:sz="4" w:space="0" w:color="B8C8D0"/>
              <w:bottom w:val="single" w:sz="4" w:space="0" w:color="B8C8D0"/>
              <w:right w:val="single" w:sz="4" w:space="0" w:color="B8C8D0"/>
            </w:tcBorders>
            <w:vAlign w:val="center"/>
          </w:tcPr>
          <w:p w14:paraId="1830F5D4" w14:textId="77777777" w:rsidR="00C652FC" w:rsidRDefault="00000000">
            <w:pPr>
              <w:spacing w:after="0"/>
              <w:rPr>
                <w:rFonts w:ascii="Calibri" w:hAnsi="Calibri" w:cs="Calibri"/>
              </w:rPr>
            </w:pPr>
            <w:r>
              <w:rPr>
                <w:rFonts w:ascii="Calibri" w:hAnsi="Calibri" w:cs="Calibri"/>
                <w:sz w:val="18"/>
              </w:rPr>
              <w:t>Invitation-based, in-person working meeting; approximately 25–30 participants</w:t>
            </w:r>
          </w:p>
        </w:tc>
      </w:tr>
      <w:tr w:rsidR="00C652FC" w14:paraId="65F2D327" w14:textId="77777777" w:rsidTr="005A312E">
        <w:trPr>
          <w:cantSplit/>
          <w:jc w:val="center"/>
        </w:trPr>
        <w:tc>
          <w:tcPr>
            <w:tcW w:w="2375" w:type="dxa"/>
            <w:tcBorders>
              <w:top w:val="single" w:sz="4" w:space="0" w:color="B8C8D0"/>
              <w:left w:val="single" w:sz="4" w:space="0" w:color="B8C8D0"/>
              <w:bottom w:val="single" w:sz="4" w:space="0" w:color="B8C8D0"/>
              <w:right w:val="single" w:sz="4" w:space="0" w:color="B8C8D0"/>
            </w:tcBorders>
            <w:shd w:val="clear" w:color="auto" w:fill="EAF2F5"/>
            <w:vAlign w:val="center"/>
          </w:tcPr>
          <w:p w14:paraId="01F88D7E" w14:textId="77777777" w:rsidR="00C652FC" w:rsidRDefault="00000000">
            <w:pPr>
              <w:spacing w:after="0"/>
              <w:rPr>
                <w:rFonts w:ascii="Calibri" w:hAnsi="Calibri" w:cs="Calibri"/>
              </w:rPr>
            </w:pPr>
            <w:r>
              <w:rPr>
                <w:rFonts w:ascii="Calibri" w:hAnsi="Calibri" w:cs="Calibri"/>
                <w:b/>
                <w:color w:val="17365D"/>
                <w:sz w:val="18"/>
              </w:rPr>
              <w:t>Registration fee</w:t>
            </w:r>
          </w:p>
        </w:tc>
        <w:tc>
          <w:tcPr>
            <w:tcW w:w="7489" w:type="dxa"/>
            <w:tcBorders>
              <w:top w:val="single" w:sz="4" w:space="0" w:color="B8C8D0"/>
              <w:left w:val="single" w:sz="4" w:space="0" w:color="B8C8D0"/>
              <w:bottom w:val="single" w:sz="4" w:space="0" w:color="B8C8D0"/>
              <w:right w:val="single" w:sz="4" w:space="0" w:color="B8C8D0"/>
            </w:tcBorders>
            <w:vAlign w:val="center"/>
          </w:tcPr>
          <w:p w14:paraId="3758D512" w14:textId="77777777" w:rsidR="00C652FC" w:rsidRDefault="00000000">
            <w:pPr>
              <w:spacing w:after="0"/>
              <w:rPr>
                <w:rFonts w:ascii="Calibri" w:hAnsi="Calibri" w:cs="Calibri"/>
              </w:rPr>
            </w:pPr>
            <w:r>
              <w:rPr>
                <w:rFonts w:ascii="Calibri" w:hAnsi="Calibri" w:cs="Calibri"/>
                <w:sz w:val="18"/>
              </w:rPr>
              <w:t>None</w:t>
            </w:r>
          </w:p>
        </w:tc>
      </w:tr>
      <w:tr w:rsidR="00C652FC" w14:paraId="0C6DFBF7" w14:textId="77777777" w:rsidTr="005A312E">
        <w:trPr>
          <w:cantSplit/>
          <w:jc w:val="center"/>
        </w:trPr>
        <w:tc>
          <w:tcPr>
            <w:tcW w:w="2375" w:type="dxa"/>
            <w:tcBorders>
              <w:top w:val="single" w:sz="4" w:space="0" w:color="B8C8D0"/>
              <w:left w:val="single" w:sz="4" w:space="0" w:color="B8C8D0"/>
              <w:bottom w:val="single" w:sz="4" w:space="0" w:color="B8C8D0"/>
              <w:right w:val="single" w:sz="4" w:space="0" w:color="B8C8D0"/>
            </w:tcBorders>
            <w:shd w:val="clear" w:color="auto" w:fill="EAF2F5"/>
            <w:vAlign w:val="center"/>
          </w:tcPr>
          <w:p w14:paraId="2F9B782E" w14:textId="77777777" w:rsidR="00C652FC" w:rsidRDefault="00000000">
            <w:pPr>
              <w:spacing w:after="0"/>
              <w:rPr>
                <w:rFonts w:ascii="Calibri" w:hAnsi="Calibri" w:cs="Calibri"/>
              </w:rPr>
            </w:pPr>
            <w:r>
              <w:rPr>
                <w:rFonts w:ascii="Calibri" w:hAnsi="Calibri" w:cs="Calibri"/>
                <w:b/>
                <w:color w:val="17365D"/>
                <w:sz w:val="18"/>
              </w:rPr>
              <w:t>Workshop costs</w:t>
            </w:r>
          </w:p>
        </w:tc>
        <w:tc>
          <w:tcPr>
            <w:tcW w:w="7489" w:type="dxa"/>
            <w:tcBorders>
              <w:top w:val="single" w:sz="4" w:space="0" w:color="B8C8D0"/>
              <w:left w:val="single" w:sz="4" w:space="0" w:color="B8C8D0"/>
              <w:bottom w:val="single" w:sz="4" w:space="0" w:color="B8C8D0"/>
              <w:right w:val="single" w:sz="4" w:space="0" w:color="B8C8D0"/>
            </w:tcBorders>
            <w:vAlign w:val="center"/>
          </w:tcPr>
          <w:p w14:paraId="7A5E3D98" w14:textId="494FBD79" w:rsidR="00C652FC" w:rsidRDefault="00000000">
            <w:pPr>
              <w:spacing w:after="0"/>
              <w:rPr>
                <w:rFonts w:ascii="Calibri" w:hAnsi="Calibri" w:cs="Calibri"/>
              </w:rPr>
            </w:pPr>
            <w:r>
              <w:rPr>
                <w:rFonts w:ascii="Calibri" w:hAnsi="Calibri" w:cs="Calibri"/>
                <w:sz w:val="18"/>
              </w:rPr>
              <w:t xml:space="preserve">The venue and local workshop costs </w:t>
            </w:r>
            <w:r w:rsidR="005A312E">
              <w:rPr>
                <w:rFonts w:ascii="Calibri" w:hAnsi="Calibri" w:cs="Calibri"/>
                <w:sz w:val="18"/>
              </w:rPr>
              <w:t>e.g</w:t>
            </w:r>
            <w:r w:rsidR="002640D3">
              <w:rPr>
                <w:rFonts w:ascii="Calibri" w:hAnsi="Calibri" w:cs="Calibri"/>
                <w:sz w:val="18"/>
              </w:rPr>
              <w:t>.</w:t>
            </w:r>
            <w:r w:rsidR="005A312E">
              <w:rPr>
                <w:rFonts w:ascii="Calibri" w:hAnsi="Calibri" w:cs="Calibri"/>
                <w:sz w:val="18"/>
              </w:rPr>
              <w:t xml:space="preserve"> meals </w:t>
            </w:r>
            <w:r>
              <w:rPr>
                <w:rFonts w:ascii="Calibri" w:hAnsi="Calibri" w:cs="Calibri"/>
                <w:sz w:val="18"/>
              </w:rPr>
              <w:t xml:space="preserve">will be covered by the </w:t>
            </w:r>
            <w:proofErr w:type="spellStart"/>
            <w:r>
              <w:rPr>
                <w:rFonts w:ascii="Calibri" w:hAnsi="Calibri" w:cs="Calibri"/>
                <w:sz w:val="18"/>
              </w:rPr>
              <w:t>organisers</w:t>
            </w:r>
            <w:proofErr w:type="spellEnd"/>
            <w:r>
              <w:rPr>
                <w:rFonts w:ascii="Calibri" w:hAnsi="Calibri" w:cs="Calibri"/>
                <w:sz w:val="18"/>
              </w:rPr>
              <w:t>.</w:t>
            </w:r>
          </w:p>
        </w:tc>
      </w:tr>
      <w:tr w:rsidR="00C652FC" w14:paraId="1B59F6D4" w14:textId="77777777" w:rsidTr="005A312E">
        <w:trPr>
          <w:cantSplit/>
          <w:jc w:val="center"/>
        </w:trPr>
        <w:tc>
          <w:tcPr>
            <w:tcW w:w="2375" w:type="dxa"/>
            <w:tcBorders>
              <w:top w:val="single" w:sz="4" w:space="0" w:color="B8C8D0"/>
              <w:left w:val="single" w:sz="4" w:space="0" w:color="B8C8D0"/>
              <w:bottom w:val="single" w:sz="4" w:space="0" w:color="B8C8D0"/>
              <w:right w:val="single" w:sz="4" w:space="0" w:color="B8C8D0"/>
            </w:tcBorders>
            <w:shd w:val="clear" w:color="auto" w:fill="EAF2F5"/>
            <w:vAlign w:val="center"/>
          </w:tcPr>
          <w:p w14:paraId="7267DD10" w14:textId="5B3D3BC3" w:rsidR="00C652FC" w:rsidRDefault="00000000">
            <w:pPr>
              <w:spacing w:after="0"/>
              <w:rPr>
                <w:rFonts w:ascii="Calibri" w:hAnsi="Calibri" w:cs="Calibri"/>
              </w:rPr>
            </w:pPr>
            <w:r>
              <w:rPr>
                <w:rFonts w:ascii="Calibri" w:hAnsi="Calibri" w:cs="Calibri"/>
                <w:b/>
                <w:color w:val="17365D"/>
                <w:sz w:val="18"/>
              </w:rPr>
              <w:t>Travel</w:t>
            </w:r>
          </w:p>
        </w:tc>
        <w:tc>
          <w:tcPr>
            <w:tcW w:w="7489" w:type="dxa"/>
            <w:tcBorders>
              <w:top w:val="single" w:sz="4" w:space="0" w:color="B8C8D0"/>
              <w:left w:val="single" w:sz="4" w:space="0" w:color="B8C8D0"/>
              <w:bottom w:val="single" w:sz="4" w:space="0" w:color="B8C8D0"/>
              <w:right w:val="single" w:sz="4" w:space="0" w:color="B8C8D0"/>
            </w:tcBorders>
            <w:vAlign w:val="center"/>
          </w:tcPr>
          <w:p w14:paraId="1598A0B5" w14:textId="35625470" w:rsidR="00C652FC" w:rsidRDefault="00000000">
            <w:pPr>
              <w:spacing w:after="0"/>
            </w:pPr>
            <w:r>
              <w:rPr>
                <w:rFonts w:ascii="Calibri" w:hAnsi="Calibri" w:cs="Calibri"/>
                <w:sz w:val="18"/>
              </w:rPr>
              <w:t xml:space="preserve">Participants are expected to cover their own travel </w:t>
            </w:r>
            <w:r w:rsidR="005A312E">
              <w:rPr>
                <w:rFonts w:ascii="Calibri" w:hAnsi="Calibri" w:cs="Calibri"/>
                <w:sz w:val="18"/>
              </w:rPr>
              <w:t>costs</w:t>
            </w:r>
          </w:p>
        </w:tc>
      </w:tr>
      <w:tr w:rsidR="005A312E" w14:paraId="01479DA7" w14:textId="77777777" w:rsidTr="005A312E">
        <w:trPr>
          <w:cantSplit/>
          <w:jc w:val="center"/>
        </w:trPr>
        <w:tc>
          <w:tcPr>
            <w:tcW w:w="2375" w:type="dxa"/>
            <w:tcBorders>
              <w:top w:val="single" w:sz="4" w:space="0" w:color="B8C8D0"/>
              <w:left w:val="single" w:sz="4" w:space="0" w:color="B8C8D0"/>
              <w:bottom w:val="single" w:sz="4" w:space="0" w:color="B8C8D0"/>
              <w:right w:val="single" w:sz="4" w:space="0" w:color="B8C8D0"/>
            </w:tcBorders>
            <w:shd w:val="clear" w:color="auto" w:fill="EAF2F5"/>
            <w:vAlign w:val="center"/>
          </w:tcPr>
          <w:p w14:paraId="412E4CFA" w14:textId="7FED5C92" w:rsidR="005A312E" w:rsidRDefault="005A312E">
            <w:pPr>
              <w:spacing w:after="0"/>
              <w:rPr>
                <w:rFonts w:ascii="Calibri" w:hAnsi="Calibri" w:cs="Calibri"/>
                <w:b/>
                <w:color w:val="17365D"/>
                <w:sz w:val="18"/>
              </w:rPr>
            </w:pPr>
            <w:r w:rsidRPr="005A312E">
              <w:rPr>
                <w:rFonts w:ascii="Calibri" w:hAnsi="Calibri" w:cs="Calibri"/>
                <w:b/>
                <w:color w:val="17365D"/>
                <w:sz w:val="18"/>
              </w:rPr>
              <w:t>Accommodation</w:t>
            </w:r>
          </w:p>
        </w:tc>
        <w:tc>
          <w:tcPr>
            <w:tcW w:w="7489" w:type="dxa"/>
            <w:tcBorders>
              <w:top w:val="single" w:sz="4" w:space="0" w:color="B8C8D0"/>
              <w:left w:val="single" w:sz="4" w:space="0" w:color="B8C8D0"/>
              <w:bottom w:val="single" w:sz="4" w:space="0" w:color="B8C8D0"/>
              <w:right w:val="single" w:sz="4" w:space="0" w:color="B8C8D0"/>
            </w:tcBorders>
            <w:vAlign w:val="center"/>
          </w:tcPr>
          <w:p w14:paraId="284BDC1A" w14:textId="3E0735B5" w:rsidR="005A312E" w:rsidRDefault="005A312E">
            <w:pPr>
              <w:spacing w:after="0"/>
              <w:rPr>
                <w:rFonts w:ascii="Calibri" w:hAnsi="Calibri" w:cs="Calibri"/>
                <w:sz w:val="18"/>
              </w:rPr>
            </w:pPr>
            <w:r>
              <w:rPr>
                <w:rFonts w:ascii="Calibri" w:hAnsi="Calibri" w:cs="Calibri"/>
                <w:sz w:val="18"/>
              </w:rPr>
              <w:t>Cost of accommodation covered for two nights i.e</w:t>
            </w:r>
            <w:r w:rsidR="00235912">
              <w:rPr>
                <w:rFonts w:ascii="Calibri" w:hAnsi="Calibri" w:cs="Calibri"/>
                <w:sz w:val="18"/>
              </w:rPr>
              <w:t>.</w:t>
            </w:r>
            <w:r>
              <w:rPr>
                <w:rFonts w:ascii="Calibri" w:hAnsi="Calibri" w:cs="Calibri"/>
                <w:sz w:val="18"/>
              </w:rPr>
              <w:t xml:space="preserve"> </w:t>
            </w:r>
            <w:r w:rsidR="00235912">
              <w:rPr>
                <w:rFonts w:ascii="Calibri" w:hAnsi="Calibri" w:cs="Calibri"/>
                <w:sz w:val="18"/>
              </w:rPr>
              <w:t>1</w:t>
            </w:r>
            <w:r w:rsidR="00AC3C07">
              <w:rPr>
                <w:rFonts w:ascii="Calibri" w:hAnsi="Calibri" w:cs="Calibri"/>
                <w:sz w:val="18"/>
              </w:rPr>
              <w:t>8</w:t>
            </w:r>
            <w:r>
              <w:rPr>
                <w:rFonts w:ascii="Calibri" w:hAnsi="Calibri" w:cs="Calibri"/>
                <w:sz w:val="18"/>
              </w:rPr>
              <w:t xml:space="preserve"> &amp; </w:t>
            </w:r>
            <w:r w:rsidR="00AC3C07">
              <w:rPr>
                <w:rFonts w:ascii="Calibri" w:hAnsi="Calibri" w:cs="Calibri"/>
                <w:sz w:val="18"/>
              </w:rPr>
              <w:t>19</w:t>
            </w:r>
            <w:r>
              <w:rPr>
                <w:rFonts w:ascii="Calibri" w:hAnsi="Calibri" w:cs="Calibri"/>
                <w:sz w:val="18"/>
              </w:rPr>
              <w:t xml:space="preserve"> November 2026</w:t>
            </w:r>
          </w:p>
        </w:tc>
      </w:tr>
      <w:tr w:rsidR="00C652FC" w14:paraId="00E51D7D" w14:textId="77777777" w:rsidTr="005A312E">
        <w:trPr>
          <w:cantSplit/>
          <w:jc w:val="center"/>
        </w:trPr>
        <w:tc>
          <w:tcPr>
            <w:tcW w:w="2375" w:type="dxa"/>
            <w:tcBorders>
              <w:top w:val="single" w:sz="4" w:space="0" w:color="B8C8D0"/>
              <w:left w:val="single" w:sz="4" w:space="0" w:color="B8C8D0"/>
              <w:bottom w:val="single" w:sz="4" w:space="0" w:color="B8C8D0"/>
              <w:right w:val="single" w:sz="4" w:space="0" w:color="B8C8D0"/>
            </w:tcBorders>
            <w:shd w:val="clear" w:color="auto" w:fill="EAF2F5"/>
            <w:vAlign w:val="center"/>
          </w:tcPr>
          <w:p w14:paraId="655EE9E5" w14:textId="77777777" w:rsidR="00C652FC" w:rsidRDefault="00000000">
            <w:pPr>
              <w:spacing w:after="0"/>
              <w:rPr>
                <w:rFonts w:ascii="Calibri" w:hAnsi="Calibri" w:cs="Calibri"/>
              </w:rPr>
            </w:pPr>
            <w:r>
              <w:rPr>
                <w:rFonts w:ascii="Calibri" w:hAnsi="Calibri" w:cs="Calibri"/>
                <w:b/>
                <w:color w:val="17365D"/>
                <w:sz w:val="18"/>
              </w:rPr>
              <w:t>Convening team</w:t>
            </w:r>
          </w:p>
        </w:tc>
        <w:tc>
          <w:tcPr>
            <w:tcW w:w="7489" w:type="dxa"/>
            <w:tcBorders>
              <w:top w:val="single" w:sz="4" w:space="0" w:color="B8C8D0"/>
              <w:left w:val="single" w:sz="4" w:space="0" w:color="B8C8D0"/>
              <w:bottom w:val="single" w:sz="4" w:space="0" w:color="B8C8D0"/>
              <w:right w:val="single" w:sz="4" w:space="0" w:color="B8C8D0"/>
            </w:tcBorders>
            <w:vAlign w:val="center"/>
          </w:tcPr>
          <w:p w14:paraId="053FEFF4" w14:textId="48554BAB" w:rsidR="00C652FC" w:rsidRDefault="00000000">
            <w:pPr>
              <w:spacing w:after="0"/>
              <w:rPr>
                <w:rFonts w:ascii="Calibri" w:hAnsi="Calibri" w:cs="Calibri"/>
              </w:rPr>
            </w:pPr>
            <w:r>
              <w:rPr>
                <w:rFonts w:ascii="Calibri" w:hAnsi="Calibri" w:cs="Calibri"/>
                <w:sz w:val="18"/>
              </w:rPr>
              <w:t>Tony Donné, Valentina Nikolaeva</w:t>
            </w:r>
            <w:r w:rsidR="005A312E">
              <w:rPr>
                <w:rFonts w:ascii="Calibri" w:hAnsi="Calibri" w:cs="Calibri"/>
                <w:sz w:val="18"/>
              </w:rPr>
              <w:t>, Georgy Subbotin</w:t>
            </w:r>
            <w:r>
              <w:rPr>
                <w:rFonts w:ascii="Calibri" w:hAnsi="Calibri" w:cs="Calibri"/>
                <w:sz w:val="18"/>
              </w:rPr>
              <w:t xml:space="preserve"> and Aleksei Zolotarev </w:t>
            </w:r>
          </w:p>
        </w:tc>
      </w:tr>
      <w:tr w:rsidR="00C652FC" w14:paraId="62C6CBF5" w14:textId="77777777" w:rsidTr="005A312E">
        <w:trPr>
          <w:cantSplit/>
          <w:jc w:val="center"/>
        </w:trPr>
        <w:tc>
          <w:tcPr>
            <w:tcW w:w="2375" w:type="dxa"/>
            <w:tcBorders>
              <w:top w:val="single" w:sz="4" w:space="0" w:color="B8C8D0"/>
              <w:left w:val="single" w:sz="4" w:space="0" w:color="B8C8D0"/>
              <w:bottom w:val="single" w:sz="4" w:space="0" w:color="B8C8D0"/>
              <w:right w:val="single" w:sz="4" w:space="0" w:color="B8C8D0"/>
            </w:tcBorders>
            <w:shd w:val="clear" w:color="auto" w:fill="EAF2F5"/>
            <w:vAlign w:val="center"/>
          </w:tcPr>
          <w:p w14:paraId="70A90093" w14:textId="77777777" w:rsidR="00C652FC" w:rsidRDefault="00000000">
            <w:pPr>
              <w:spacing w:after="0"/>
              <w:rPr>
                <w:rFonts w:ascii="Calibri" w:hAnsi="Calibri" w:cs="Calibri"/>
                <w:b/>
                <w:color w:val="17365D"/>
                <w:sz w:val="18"/>
              </w:rPr>
            </w:pPr>
            <w:r>
              <w:rPr>
                <w:rFonts w:ascii="Calibri" w:hAnsi="Calibri" w:cs="Calibri"/>
                <w:b/>
                <w:color w:val="17365D"/>
                <w:sz w:val="18"/>
              </w:rPr>
              <w:t>Contact</w:t>
            </w:r>
          </w:p>
        </w:tc>
        <w:tc>
          <w:tcPr>
            <w:tcW w:w="7489" w:type="dxa"/>
            <w:tcBorders>
              <w:top w:val="single" w:sz="4" w:space="0" w:color="B8C8D0"/>
              <w:left w:val="single" w:sz="4" w:space="0" w:color="B8C8D0"/>
              <w:bottom w:val="single" w:sz="4" w:space="0" w:color="B8C8D0"/>
              <w:right w:val="single" w:sz="4" w:space="0" w:color="B8C8D0"/>
            </w:tcBorders>
            <w:vAlign w:val="center"/>
          </w:tcPr>
          <w:p w14:paraId="1E880223" w14:textId="63A4F472" w:rsidR="00C652FC" w:rsidRDefault="00C652FC">
            <w:pPr>
              <w:spacing w:after="0"/>
            </w:pPr>
            <w:hyperlink r:id="rId8">
              <w:r>
                <w:rPr>
                  <w:rStyle w:val="InternetLink"/>
                  <w:rFonts w:ascii="Calibri" w:hAnsi="Calibri" w:cs="Calibri"/>
                  <w:sz w:val="18"/>
                </w:rPr>
                <w:t>Tony.donne@feinn.de</w:t>
              </w:r>
            </w:hyperlink>
            <w:r>
              <w:rPr>
                <w:rFonts w:ascii="Calibri" w:hAnsi="Calibri" w:cs="Calibri"/>
                <w:sz w:val="18"/>
              </w:rPr>
              <w:t xml:space="preserve">; </w:t>
            </w:r>
            <w:hyperlink r:id="rId9">
              <w:r>
                <w:rPr>
                  <w:rStyle w:val="InternetLink"/>
                  <w:rFonts w:ascii="Calibri" w:hAnsi="Calibri" w:cs="Calibri"/>
                  <w:sz w:val="18"/>
                </w:rPr>
                <w:t>v.e.nikolaeva@gmail.com</w:t>
              </w:r>
            </w:hyperlink>
            <w:r>
              <w:rPr>
                <w:rFonts w:ascii="Calibri" w:hAnsi="Calibri" w:cs="Calibri"/>
                <w:sz w:val="18"/>
              </w:rPr>
              <w:t xml:space="preserve">; </w:t>
            </w:r>
            <w:hyperlink r:id="rId10" w:history="1">
              <w:r w:rsidR="005A312E" w:rsidRPr="003743AC">
                <w:rPr>
                  <w:rStyle w:val="Hipervnculo"/>
                </w:rPr>
                <w:t>gs</w:t>
              </w:r>
              <w:r w:rsidR="005A312E" w:rsidRPr="003743AC">
                <w:rPr>
                  <w:rStyle w:val="Hipervnculo"/>
                  <w:rFonts w:ascii="Calibri" w:hAnsi="Calibri" w:cs="Calibri"/>
                  <w:sz w:val="18"/>
                </w:rPr>
                <w:t>@nextfusion.org</w:t>
              </w:r>
            </w:hyperlink>
            <w:r w:rsidR="005A312E">
              <w:t xml:space="preserve">; </w:t>
            </w:r>
            <w:hyperlink r:id="rId11" w:history="1">
              <w:r w:rsidR="005A312E" w:rsidRPr="003743AC">
                <w:rPr>
                  <w:rStyle w:val="Hipervnculo"/>
                  <w:rFonts w:ascii="Calibri" w:hAnsi="Calibri" w:cs="Calibri"/>
                  <w:sz w:val="18"/>
                </w:rPr>
                <w:t>az@nextfusion.org</w:t>
              </w:r>
            </w:hyperlink>
            <w:r w:rsidR="005A312E">
              <w:t xml:space="preserve"> </w:t>
            </w:r>
            <w:r w:rsidR="005A312E">
              <w:rPr>
                <w:rFonts w:ascii="Calibri" w:hAnsi="Calibri" w:cs="Calibri"/>
                <w:sz w:val="18"/>
              </w:rPr>
              <w:t xml:space="preserve"> </w:t>
            </w:r>
            <w:r w:rsidR="005A312E">
              <w:t xml:space="preserve"> </w:t>
            </w:r>
            <w:r>
              <w:rPr>
                <w:rFonts w:ascii="Calibri" w:hAnsi="Calibri" w:cs="Calibri"/>
                <w:sz w:val="18"/>
              </w:rPr>
              <w:t xml:space="preserve"> </w:t>
            </w:r>
          </w:p>
        </w:tc>
      </w:tr>
    </w:tbl>
    <w:p w14:paraId="7F8B6EA3" w14:textId="77777777" w:rsidR="00C652FC" w:rsidRDefault="00C652FC" w:rsidP="00D3139F"/>
    <w:sectPr w:rsidR="00C652FC">
      <w:headerReference w:type="default" r:id="rId12"/>
      <w:footerReference w:type="default" r:id="rId13"/>
      <w:pgSz w:w="12240" w:h="15840"/>
      <w:pgMar w:top="936" w:right="1037" w:bottom="936" w:left="1037"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8C2A6" w14:textId="77777777" w:rsidR="005F4DEB" w:rsidRDefault="005F4DEB">
      <w:pPr>
        <w:spacing w:after="0" w:line="240" w:lineRule="auto"/>
      </w:pPr>
      <w:r>
        <w:separator/>
      </w:r>
    </w:p>
  </w:endnote>
  <w:endnote w:type="continuationSeparator" w:id="0">
    <w:p w14:paraId="2CA54F8B" w14:textId="77777777" w:rsidR="005F4DEB" w:rsidRDefault="005F4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EB9DB" w14:textId="77777777" w:rsidR="00C652FC" w:rsidRDefault="00000000">
    <w:pPr>
      <w:pStyle w:val="Piedepgina"/>
      <w:jc w:val="center"/>
    </w:pPr>
    <w:r>
      <w:rPr>
        <w:color w:val="5C6670"/>
        <w:sz w:val="16"/>
      </w:rPr>
      <w:t>Provisional participant brief | 20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102FB" w14:textId="77777777" w:rsidR="005F4DEB" w:rsidRDefault="005F4DEB">
      <w:pPr>
        <w:spacing w:after="0" w:line="240" w:lineRule="auto"/>
      </w:pPr>
      <w:r>
        <w:separator/>
      </w:r>
    </w:p>
  </w:footnote>
  <w:footnote w:type="continuationSeparator" w:id="0">
    <w:p w14:paraId="3137385E" w14:textId="77777777" w:rsidR="005F4DEB" w:rsidRDefault="005F4D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51E42" w14:textId="77777777" w:rsidR="00C652FC" w:rsidRDefault="00000000">
    <w:pPr>
      <w:pStyle w:val="Encabezado"/>
      <w:jc w:val="right"/>
      <w:rPr>
        <w:b/>
        <w:color w:val="187C80"/>
        <w:sz w:val="16"/>
      </w:rPr>
    </w:pPr>
    <w:r>
      <w:rPr>
        <w:b/>
        <w:color w:val="187C80"/>
        <w:sz w:val="16"/>
      </w:rPr>
      <w:t>FUSION POWER PLANT DIAGNOSTICS WORKSHOP</w:t>
    </w:r>
  </w:p>
  <w:p w14:paraId="6B968D56" w14:textId="4DA2E40F" w:rsidR="00C652FC" w:rsidRDefault="00000000">
    <w:pPr>
      <w:pStyle w:val="Encabezado"/>
      <w:jc w:val="right"/>
      <w:rPr>
        <w:b/>
        <w:color w:val="187C80"/>
        <w:sz w:val="16"/>
      </w:rPr>
    </w:pPr>
    <w:r>
      <w:rPr>
        <w:b/>
        <w:color w:val="187C80"/>
        <w:sz w:val="16"/>
      </w:rPr>
      <w:t xml:space="preserve">Las Palmas de Gran Canaria, Spain • </w:t>
    </w:r>
    <w:r w:rsidR="002640D3">
      <w:rPr>
        <w:b/>
        <w:color w:val="187C80"/>
        <w:sz w:val="16"/>
      </w:rPr>
      <w:t>18-20</w:t>
    </w:r>
    <w:r>
      <w:rPr>
        <w:b/>
        <w:color w:val="187C80"/>
        <w:sz w:val="16"/>
      </w:rPr>
      <w:t xml:space="preserve"> November 2026</w:t>
    </w:r>
  </w:p>
  <w:p w14:paraId="09B90166" w14:textId="77777777" w:rsidR="00C652FC" w:rsidRDefault="00C652FC">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7436A"/>
    <w:multiLevelType w:val="multilevel"/>
    <w:tmpl w:val="DC4845D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49A57372"/>
    <w:multiLevelType w:val="multilevel"/>
    <w:tmpl w:val="56C8B4F4"/>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270697307">
    <w:abstractNumId w:val="1"/>
  </w:num>
  <w:num w:numId="2" w16cid:durableId="250435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2FC"/>
    <w:rsid w:val="00007B67"/>
    <w:rsid w:val="000C66D6"/>
    <w:rsid w:val="000E2D91"/>
    <w:rsid w:val="000E330B"/>
    <w:rsid w:val="00135B46"/>
    <w:rsid w:val="001802EC"/>
    <w:rsid w:val="001D33A0"/>
    <w:rsid w:val="0020176F"/>
    <w:rsid w:val="00235912"/>
    <w:rsid w:val="002640D3"/>
    <w:rsid w:val="004D2014"/>
    <w:rsid w:val="005067DA"/>
    <w:rsid w:val="0052469D"/>
    <w:rsid w:val="00544016"/>
    <w:rsid w:val="005A2A12"/>
    <w:rsid w:val="005A312E"/>
    <w:rsid w:val="005C23CB"/>
    <w:rsid w:val="005F4DEB"/>
    <w:rsid w:val="00653D6A"/>
    <w:rsid w:val="006623F0"/>
    <w:rsid w:val="006811A9"/>
    <w:rsid w:val="007801D2"/>
    <w:rsid w:val="007F5243"/>
    <w:rsid w:val="00821694"/>
    <w:rsid w:val="008C2043"/>
    <w:rsid w:val="008C6258"/>
    <w:rsid w:val="00970CDD"/>
    <w:rsid w:val="00A734A7"/>
    <w:rsid w:val="00AC16AA"/>
    <w:rsid w:val="00AC3C07"/>
    <w:rsid w:val="00B702DD"/>
    <w:rsid w:val="00B97C38"/>
    <w:rsid w:val="00C52847"/>
    <w:rsid w:val="00C652FC"/>
    <w:rsid w:val="00D3139F"/>
    <w:rsid w:val="00D5782E"/>
    <w:rsid w:val="00E01AC2"/>
    <w:rsid w:val="00ED4DA3"/>
    <w:rsid w:val="00FC3AE4"/>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A779F"/>
  <w15:docId w15:val="{55ACAD9F-95E0-6640-BEB7-18C1D466E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eastAsia="MS Mincho" w:hAnsi="Aptos"/>
      <w:color w:val="243746"/>
    </w:rPr>
  </w:style>
  <w:style w:type="paragraph" w:styleId="Ttulo1">
    <w:name w:val="heading 1"/>
    <w:basedOn w:val="Normal"/>
    <w:next w:val="Normal"/>
    <w:link w:val="Ttulo1Car"/>
    <w:uiPriority w:val="9"/>
    <w:qFormat/>
    <w:rsid w:val="00FC693F"/>
    <w:pPr>
      <w:keepNext/>
      <w:keepLines/>
      <w:spacing w:before="260" w:after="100"/>
      <w:outlineLvl w:val="0"/>
    </w:pPr>
    <w:rPr>
      <w:rFonts w:asciiTheme="majorHAnsi" w:eastAsiaTheme="majorEastAsia" w:hAnsiTheme="majorHAnsi" w:cstheme="majorBidi"/>
      <w:b/>
      <w:bCs/>
      <w:color w:val="17365D"/>
      <w:sz w:val="32"/>
      <w:szCs w:val="28"/>
    </w:rPr>
  </w:style>
  <w:style w:type="paragraph" w:styleId="Ttulo2">
    <w:name w:val="heading 2"/>
    <w:basedOn w:val="Normal"/>
    <w:next w:val="Normal"/>
    <w:link w:val="Ttulo2Car"/>
    <w:uiPriority w:val="9"/>
    <w:unhideWhenUsed/>
    <w:qFormat/>
    <w:rsid w:val="00FC693F"/>
    <w:pPr>
      <w:keepNext/>
      <w:keepLines/>
      <w:spacing w:before="180" w:after="80"/>
      <w:outlineLvl w:val="1"/>
    </w:pPr>
    <w:rPr>
      <w:rFonts w:asciiTheme="majorHAnsi" w:eastAsiaTheme="majorEastAsia" w:hAnsiTheme="majorHAnsi" w:cstheme="majorBidi"/>
      <w:b/>
      <w:bCs/>
      <w:color w:val="187C80"/>
      <w:sz w:val="24"/>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E618BF"/>
  </w:style>
  <w:style w:type="character" w:customStyle="1" w:styleId="PiedepginaCar">
    <w:name w:val="Pie de página Car"/>
    <w:basedOn w:val="Fuentedeprrafopredeter"/>
    <w:link w:val="Piedepgina"/>
    <w:uiPriority w:val="99"/>
    <w:qFormat/>
    <w:rsid w:val="00E618BF"/>
  </w:style>
  <w:style w:type="character" w:customStyle="1" w:styleId="Ttulo1Car">
    <w:name w:val="Título 1 Car"/>
    <w:basedOn w:val="Fuentedeprrafopredeter"/>
    <w:link w:val="Ttulo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qFormat/>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qFormat/>
    <w:rsid w:val="00FC693F"/>
    <w:rPr>
      <w:rFonts w:asciiTheme="majorHAnsi" w:eastAsiaTheme="majorEastAsia" w:hAnsiTheme="majorHAnsi" w:cstheme="majorBidi"/>
      <w:b/>
      <w:bCs/>
      <w:color w:val="4F81BD" w:themeColor="accent1"/>
    </w:rPr>
  </w:style>
  <w:style w:type="character" w:customStyle="1" w:styleId="TtuloCar">
    <w:name w:val="Título Car"/>
    <w:basedOn w:val="Fuentedeprrafopredeter"/>
    <w:link w:val="Ttulo"/>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tuloCar">
    <w:name w:val="Subtítulo Car"/>
    <w:basedOn w:val="Fuentedeprrafopredeter"/>
    <w:link w:val="Subttulo"/>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TextoindependienteCar">
    <w:name w:val="Texto independiente Car"/>
    <w:basedOn w:val="Fuentedeprrafopredeter"/>
    <w:link w:val="Textoindependiente"/>
    <w:uiPriority w:val="99"/>
    <w:qFormat/>
    <w:rsid w:val="00AA1D8D"/>
  </w:style>
  <w:style w:type="character" w:customStyle="1" w:styleId="Textoindependiente2Car">
    <w:name w:val="Texto independiente 2 Car"/>
    <w:basedOn w:val="Fuentedeprrafopredeter"/>
    <w:link w:val="Textoindependiente2"/>
    <w:uiPriority w:val="99"/>
    <w:qFormat/>
    <w:rsid w:val="00AA1D8D"/>
  </w:style>
  <w:style w:type="character" w:customStyle="1" w:styleId="Textoindependiente3Car">
    <w:name w:val="Texto independiente 3 Car"/>
    <w:basedOn w:val="Fuentedeprrafopredeter"/>
    <w:link w:val="Textoindependiente3"/>
    <w:uiPriority w:val="99"/>
    <w:qFormat/>
    <w:rsid w:val="00AA1D8D"/>
    <w:rPr>
      <w:sz w:val="16"/>
      <w:szCs w:val="16"/>
    </w:rPr>
  </w:style>
  <w:style w:type="character" w:customStyle="1" w:styleId="TextomacroCar">
    <w:name w:val="Texto macro Car"/>
    <w:basedOn w:val="Fuentedeprrafopredeter"/>
    <w:link w:val="Textomacro"/>
    <w:uiPriority w:val="99"/>
    <w:qFormat/>
    <w:rsid w:val="0029639D"/>
    <w:rPr>
      <w:rFonts w:ascii="Courier" w:hAnsi="Courier"/>
      <w:sz w:val="20"/>
      <w:szCs w:val="20"/>
    </w:rPr>
  </w:style>
  <w:style w:type="character" w:customStyle="1" w:styleId="CitaCar">
    <w:name w:val="Cita Car"/>
    <w:basedOn w:val="Fuentedeprrafopredeter"/>
    <w:link w:val="Cita"/>
    <w:uiPriority w:val="29"/>
    <w:qFormat/>
    <w:rsid w:val="00FC693F"/>
    <w:rPr>
      <w:i/>
      <w:iCs/>
      <w:color w:val="000000" w:themeColor="text1"/>
    </w:rPr>
  </w:style>
  <w:style w:type="character" w:customStyle="1" w:styleId="Ttulo4Car">
    <w:name w:val="Título 4 Car"/>
    <w:basedOn w:val="Fuentedeprrafopredeter"/>
    <w:link w:val="Ttulo4"/>
    <w:uiPriority w:val="9"/>
    <w:semiHidden/>
    <w:qFormat/>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qFormat/>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qFormat/>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qFormat/>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character" w:customStyle="1" w:styleId="CitadestacadaCar">
    <w:name w:val="Cita destacada Car"/>
    <w:basedOn w:val="Fuentedeprrafopredeter"/>
    <w:link w:val="Citadestacada"/>
    <w:uiPriority w:val="30"/>
    <w:qFormat/>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character" w:customStyle="1" w:styleId="InternetLink">
    <w:name w:val="Internet Link"/>
    <w:basedOn w:val="Fuentedeprrafopredeter"/>
    <w:uiPriority w:val="99"/>
    <w:unhideWhenUsed/>
    <w:rsid w:val="00BD4EE1"/>
    <w:rPr>
      <w:color w:val="0000FF" w:themeColor="hyperlink"/>
      <w:u w:val="single"/>
    </w:rPr>
  </w:style>
  <w:style w:type="character" w:styleId="Mencinsinresolver">
    <w:name w:val="Unresolved Mention"/>
    <w:basedOn w:val="Fuentedeprrafopredeter"/>
    <w:uiPriority w:val="99"/>
    <w:semiHidden/>
    <w:unhideWhenUsed/>
    <w:qFormat/>
    <w:rsid w:val="00BD4EE1"/>
    <w:rPr>
      <w:color w:val="605E5C"/>
      <w:shd w:val="clear" w:color="auto" w:fill="E1DFDD"/>
    </w:rPr>
  </w:style>
  <w:style w:type="paragraph" w:customStyle="1" w:styleId="Heading">
    <w:name w:val="Heading"/>
    <w:basedOn w:val="Normal"/>
    <w:next w:val="Textoindependiente"/>
    <w:qFormat/>
    <w:pPr>
      <w:keepNext/>
      <w:spacing w:before="240"/>
    </w:pPr>
    <w:rPr>
      <w:rFonts w:ascii="Liberation Sans" w:eastAsia="Microsoft YaHei" w:hAnsi="Liberation Sans" w:cs="Arial"/>
      <w:sz w:val="28"/>
      <w:szCs w:val="28"/>
    </w:rPr>
  </w:style>
  <w:style w:type="paragraph" w:styleId="Textoindependiente">
    <w:name w:val="Body Text"/>
    <w:basedOn w:val="Normal"/>
    <w:link w:val="TextoindependienteCar"/>
    <w:uiPriority w:val="99"/>
    <w:unhideWhenUsed/>
    <w:rsid w:val="00AA1D8D"/>
  </w:style>
  <w:style w:type="paragraph" w:styleId="Lista">
    <w:name w:val="List"/>
    <w:basedOn w:val="Normal"/>
    <w:uiPriority w:val="99"/>
    <w:unhideWhenUsed/>
    <w:rsid w:val="00AA1D8D"/>
    <w:pPr>
      <w:ind w:left="360" w:hanging="360"/>
      <w:contextualSpacing/>
    </w:p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Index">
    <w:name w:val="Index"/>
    <w:basedOn w:val="Normal"/>
    <w:qFormat/>
    <w:pPr>
      <w:suppressLineNumbers/>
    </w:pPr>
    <w:rPr>
      <w:rFonts w:cs="Arial"/>
    </w:rPr>
  </w:style>
  <w:style w:type="paragraph" w:customStyle="1" w:styleId="HeaderandFooter">
    <w:name w:val="Header and Footer"/>
    <w:basedOn w:val="Normal"/>
    <w:qFormat/>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paragraph" w:styleId="Sinespaciado">
    <w:name w:val="No Spacing"/>
    <w:uiPriority w:val="1"/>
    <w:qFormat/>
    <w:rsid w:val="00FC693F"/>
  </w:style>
  <w:style w:type="paragraph" w:styleId="Ttulo">
    <w:name w:val="Title"/>
    <w:basedOn w:val="Normal"/>
    <w:next w:val="Normal"/>
    <w:link w:val="TtuloCar"/>
    <w:uiPriority w:val="10"/>
    <w:qFormat/>
    <w:rsid w:val="00FC693F"/>
    <w:pPr>
      <w:pBdr>
        <w:bottom w:val="single" w:sz="8" w:space="4" w:color="4F81BD"/>
      </w:pBdr>
      <w:spacing w:after="300" w:line="240" w:lineRule="auto"/>
      <w:contextualSpacing/>
    </w:pPr>
    <w:rPr>
      <w:rFonts w:asciiTheme="majorHAnsi" w:eastAsiaTheme="majorEastAsia" w:hAnsiTheme="majorHAnsi" w:cstheme="majorBidi"/>
      <w:b/>
      <w:color w:val="17365D"/>
      <w:spacing w:val="5"/>
      <w:kern w:val="2"/>
      <w:sz w:val="48"/>
      <w:szCs w:val="52"/>
    </w:rPr>
  </w:style>
  <w:style w:type="paragraph" w:styleId="Subttulo">
    <w:name w:val="Subtitle"/>
    <w:basedOn w:val="Normal"/>
    <w:next w:val="Normal"/>
    <w:link w:val="SubttuloCar"/>
    <w:uiPriority w:val="11"/>
    <w:qFormat/>
    <w:rsid w:val="00FC693F"/>
    <w:rPr>
      <w:rFonts w:asciiTheme="majorHAnsi" w:eastAsiaTheme="majorEastAsia" w:hAnsiTheme="majorHAnsi" w:cstheme="majorBidi"/>
      <w:b/>
      <w:i/>
      <w:iCs/>
      <w:color w:val="187C80"/>
      <w:spacing w:val="15"/>
      <w:sz w:val="22"/>
      <w:szCs w:val="24"/>
    </w:rPr>
  </w:style>
  <w:style w:type="paragraph" w:styleId="Prrafodelista">
    <w:name w:val="List Paragraph"/>
    <w:basedOn w:val="Normal"/>
    <w:uiPriority w:val="34"/>
    <w:qFormat/>
    <w:rsid w:val="00FC693F"/>
    <w:pPr>
      <w:ind w:left="720"/>
      <w:contextualSpacing/>
    </w:pPr>
  </w:style>
  <w:style w:type="paragraph" w:styleId="Textoindependiente2">
    <w:name w:val="Body Text 2"/>
    <w:basedOn w:val="Normal"/>
    <w:link w:val="Textoindependiente2Car"/>
    <w:uiPriority w:val="99"/>
    <w:unhideWhenUsed/>
    <w:qFormat/>
    <w:rsid w:val="00AA1D8D"/>
    <w:pPr>
      <w:spacing w:line="480" w:lineRule="auto"/>
    </w:pPr>
  </w:style>
  <w:style w:type="paragraph" w:styleId="Textoindependiente3">
    <w:name w:val="Body Text 3"/>
    <w:basedOn w:val="Normal"/>
    <w:link w:val="Textoindependiente3Car"/>
    <w:uiPriority w:val="99"/>
    <w:unhideWhenUsed/>
    <w:qFormat/>
    <w:rsid w:val="00AA1D8D"/>
    <w:rPr>
      <w:sz w:val="16"/>
      <w:szCs w:val="16"/>
    </w:rPr>
  </w:style>
  <w:style w:type="paragraph" w:styleId="Listaconvietas3">
    <w:name w:val="List Bullet 3"/>
    <w:basedOn w:val="Normal"/>
    <w:uiPriority w:val="99"/>
    <w:unhideWhenUsed/>
    <w:qFormat/>
    <w:rsid w:val="00326F90"/>
    <w:pPr>
      <w:contextualSpacing/>
    </w:pPr>
  </w:style>
  <w:style w:type="paragraph" w:styleId="Listaconvietas4">
    <w:name w:val="List Bullet 4"/>
    <w:basedOn w:val="Normal"/>
    <w:uiPriority w:val="99"/>
    <w:unhideWhenUsed/>
    <w:rsid w:val="00326F90"/>
    <w:pPr>
      <w:ind w:left="1080" w:hanging="360"/>
      <w:contextualSpacing/>
    </w:pPr>
  </w:style>
  <w:style w:type="paragraph" w:styleId="Listaconvietas">
    <w:name w:val="List Bullet"/>
    <w:basedOn w:val="Normal"/>
    <w:uiPriority w:val="99"/>
    <w:unhideWhenUsed/>
    <w:qFormat/>
    <w:rsid w:val="00326F90"/>
    <w:pPr>
      <w:contextualSpacing/>
    </w:pPr>
  </w:style>
  <w:style w:type="paragraph" w:styleId="Listaconvietas2">
    <w:name w:val="List Bullet 2"/>
    <w:basedOn w:val="Normal"/>
    <w:uiPriority w:val="99"/>
    <w:unhideWhenUsed/>
    <w:qFormat/>
    <w:rsid w:val="00326F90"/>
    <w:pPr>
      <w:contextualSpacing/>
    </w:pPr>
  </w:style>
  <w:style w:type="paragraph" w:styleId="Listaconnmeros">
    <w:name w:val="List Number"/>
    <w:basedOn w:val="Normal"/>
    <w:uiPriority w:val="99"/>
    <w:unhideWhenUsed/>
    <w:qFormat/>
    <w:rsid w:val="00326F90"/>
    <w:pPr>
      <w:contextualSpacing/>
    </w:pPr>
  </w:style>
  <w:style w:type="paragraph" w:styleId="Listaconnmeros2">
    <w:name w:val="List Number 2"/>
    <w:basedOn w:val="Normal"/>
    <w:uiPriority w:val="99"/>
    <w:unhideWhenUsed/>
    <w:qFormat/>
    <w:rsid w:val="0029639D"/>
    <w:pPr>
      <w:contextualSpacing/>
    </w:pPr>
  </w:style>
  <w:style w:type="paragraph" w:styleId="Listaconnmeros3">
    <w:name w:val="List Number 3"/>
    <w:basedOn w:val="Normal"/>
    <w:uiPriority w:val="99"/>
    <w:unhideWhenUsed/>
    <w:qFormat/>
    <w:rsid w:val="0029639D"/>
    <w:pPr>
      <w:contextualSpacing/>
    </w:pPr>
  </w:style>
  <w:style w:type="paragraph" w:styleId="Continuarlista">
    <w:name w:val="List Continue"/>
    <w:basedOn w:val="Normal"/>
    <w:uiPriority w:val="99"/>
    <w:unhideWhenUsed/>
    <w:qFormat/>
    <w:rsid w:val="0029639D"/>
    <w:pPr>
      <w:ind w:left="360"/>
      <w:contextualSpacing/>
    </w:pPr>
  </w:style>
  <w:style w:type="paragraph" w:styleId="Continuarlista2">
    <w:name w:val="List Continue 2"/>
    <w:basedOn w:val="Normal"/>
    <w:uiPriority w:val="99"/>
    <w:unhideWhenUsed/>
    <w:qFormat/>
    <w:rsid w:val="0029639D"/>
    <w:pPr>
      <w:ind w:left="720"/>
      <w:contextualSpacing/>
    </w:pPr>
  </w:style>
  <w:style w:type="paragraph" w:styleId="Continuarlista3">
    <w:name w:val="List Continue 3"/>
    <w:basedOn w:val="Normal"/>
    <w:uiPriority w:val="99"/>
    <w:unhideWhenUsed/>
    <w:qFormat/>
    <w:rsid w:val="0029639D"/>
    <w:pPr>
      <w:ind w:left="1080"/>
      <w:contextualSpacing/>
    </w:pPr>
  </w:style>
  <w:style w:type="paragraph" w:styleId="Textomacro">
    <w:name w:val="macro"/>
    <w:link w:val="TextomacroCar"/>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Cs w:val="20"/>
    </w:rPr>
  </w:style>
  <w:style w:type="paragraph" w:styleId="Cita">
    <w:name w:val="Quote"/>
    <w:basedOn w:val="Normal"/>
    <w:next w:val="Normal"/>
    <w:link w:val="CitaCar"/>
    <w:uiPriority w:val="29"/>
    <w:qFormat/>
    <w:rsid w:val="00FC693F"/>
    <w:rPr>
      <w:i/>
      <w:iCs/>
      <w:color w:val="000000" w:themeColor="text1"/>
    </w:rPr>
  </w:style>
  <w:style w:type="paragraph" w:styleId="Citadestacada">
    <w:name w:val="Intense Quote"/>
    <w:basedOn w:val="Normal"/>
    <w:next w:val="Normal"/>
    <w:link w:val="CitadestacadaCar"/>
    <w:uiPriority w:val="30"/>
    <w:qFormat/>
    <w:rsid w:val="00FC693F"/>
    <w:pPr>
      <w:pBdr>
        <w:bottom w:val="single" w:sz="4" w:space="4" w:color="4F81BD"/>
      </w:pBdr>
      <w:spacing w:before="200" w:after="280"/>
      <w:ind w:left="936" w:right="936"/>
    </w:pPr>
    <w:rPr>
      <w:b/>
      <w:bCs/>
      <w:i/>
      <w:iCs/>
      <w:color w:val="4F81BD" w:themeColor="accent1"/>
    </w:rPr>
  </w:style>
  <w:style w:type="paragraph" w:styleId="TtuloTDC">
    <w:name w:val="TOC Heading"/>
    <w:basedOn w:val="Ttulo1"/>
    <w:next w:val="Normal"/>
    <w:uiPriority w:val="39"/>
    <w:semiHidden/>
    <w:unhideWhenUsed/>
    <w:qFormat/>
    <w:rsid w:val="00FC693F"/>
  </w:style>
  <w:style w:type="table" w:styleId="Tablaconcuadrcula">
    <w:name w:val="Table Grid"/>
    <w:basedOn w:val="Tabla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ocomentario">
    <w:name w:val="annotation text"/>
    <w:basedOn w:val="Normal"/>
    <w:link w:val="TextocomentarioCar"/>
    <w:uiPriority w:val="99"/>
    <w:semiHidden/>
    <w:unhideWhenUsed/>
    <w:pPr>
      <w:spacing w:line="240" w:lineRule="auto"/>
    </w:pPr>
    <w:rPr>
      <w:szCs w:val="20"/>
    </w:rPr>
  </w:style>
  <w:style w:type="character" w:customStyle="1" w:styleId="TextocomentarioCar">
    <w:name w:val="Texto comentario Car"/>
    <w:basedOn w:val="Fuentedeprrafopredeter"/>
    <w:link w:val="Textocomentario"/>
    <w:uiPriority w:val="99"/>
    <w:semiHidden/>
    <w:rPr>
      <w:rFonts w:ascii="Aptos" w:eastAsia="MS Mincho" w:hAnsi="Aptos"/>
      <w:color w:val="243746"/>
      <w:szCs w:val="20"/>
    </w:rPr>
  </w:style>
  <w:style w:type="character" w:styleId="Refdecomentario">
    <w:name w:val="annotation reference"/>
    <w:basedOn w:val="Fuentedeprrafopredeter"/>
    <w:uiPriority w:val="99"/>
    <w:semiHidden/>
    <w:unhideWhenUsed/>
    <w:rPr>
      <w:sz w:val="16"/>
      <w:szCs w:val="16"/>
    </w:rPr>
  </w:style>
  <w:style w:type="character" w:styleId="Hipervnculo">
    <w:name w:val="Hyperlink"/>
    <w:basedOn w:val="Fuentedeprrafopredeter"/>
    <w:uiPriority w:val="99"/>
    <w:unhideWhenUsed/>
    <w:rsid w:val="005A312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Tony.donne@feinn.d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z@nextfusion.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s@nextfusion.org" TargetMode="External"/><Relationship Id="rId4" Type="http://schemas.openxmlformats.org/officeDocument/2006/relationships/settings" Target="settings.xml"/><Relationship Id="rId9" Type="http://schemas.openxmlformats.org/officeDocument/2006/relationships/hyperlink" Target="mailto:v.e.nikolaeva@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1749</Words>
  <Characters>9625</Characters>
  <Application>Microsoft Office Word</Application>
  <DocSecurity>0</DocSecurity>
  <Lines>80</Lines>
  <Paragraphs>22</Paragraphs>
  <ScaleCrop>false</ScaleCrop>
  <Company/>
  <LinksUpToDate>false</LinksUpToDate>
  <CharactersWithSpaces>11352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Workshop on Diagnostics for Fusion Power Plants — Participant Brief and Provisional Agenda</dc:title>
  <dc:subject>Participant-facing workshop brief and agenda</dc:subject>
  <dc:creator>Workshop convening team</dc:creator>
  <dc:description>generated by python-docx</dc:description>
  <cp:lastModifiedBy>Amaia Echeverria</cp:lastModifiedBy>
  <cp:revision>2</cp:revision>
  <dcterms:created xsi:type="dcterms:W3CDTF">2026-09-30T14:44:00Z</dcterms:created>
  <dcterms:modified xsi:type="dcterms:W3CDTF">2026-09-30T14:44:00Z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