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BA882" w14:textId="77777777" w:rsidR="00DF49FD" w:rsidRDefault="00DF49FD" w:rsidP="00DF49FD">
      <w:pPr>
        <w:spacing w:after="0" w:line="360" w:lineRule="auto"/>
        <w:rPr>
          <w:rFonts w:asciiTheme="majorHAnsi" w:eastAsia="Times New Roman" w:hAnsiTheme="majorHAnsi" w:cs="Times New Roman"/>
          <w:b/>
          <w:bCs/>
          <w:sz w:val="32"/>
          <w:szCs w:val="32"/>
          <w:lang w:eastAsia="es-ES"/>
        </w:rPr>
      </w:pPr>
    </w:p>
    <w:p w14:paraId="382C5905" w14:textId="77777777" w:rsidR="007F0FF6" w:rsidRPr="007F0FF6" w:rsidRDefault="007F0FF6" w:rsidP="007F0FF6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noProof/>
          <w:sz w:val="32"/>
          <w:szCs w:val="32"/>
          <w:lang w:val="es-ES" w:eastAsia="es-ES"/>
        </w:rPr>
      </w:pPr>
      <w:r w:rsidRPr="007F0FF6">
        <w:rPr>
          <w:rFonts w:asciiTheme="majorHAnsi" w:eastAsia="Times New Roman" w:hAnsiTheme="majorHAnsi" w:cs="Times New Roman"/>
          <w:b/>
          <w:bCs/>
          <w:noProof/>
          <w:sz w:val="32"/>
          <w:szCs w:val="32"/>
          <w:lang w:val="es-ES" w:eastAsia="es-ES"/>
        </w:rPr>
        <w:t>INFORME ECONÓMICO</w:t>
      </w:r>
    </w:p>
    <w:p w14:paraId="185FEDD5" w14:textId="3A4A9BDA" w:rsidR="00DF49FD" w:rsidRPr="00465F3B" w:rsidRDefault="007F0FF6" w:rsidP="007F0FF6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eastAsia="es-ES"/>
        </w:rPr>
      </w:pPr>
      <w:r w:rsidRPr="007F0FF6">
        <w:rPr>
          <w:rFonts w:asciiTheme="majorHAnsi" w:eastAsia="Times New Roman" w:hAnsiTheme="majorHAnsi" w:cs="Times New Roman"/>
          <w:b/>
          <w:bCs/>
          <w:noProof/>
          <w:sz w:val="32"/>
          <w:szCs w:val="32"/>
          <w:lang w:val="es-ES" w:eastAsia="es-ES"/>
        </w:rPr>
        <w:t xml:space="preserve">Valoración CROEM  </w:t>
      </w:r>
      <w:r w:rsidR="00DF7E48">
        <w:rPr>
          <w:rFonts w:asciiTheme="majorHAnsi" w:eastAsia="Times New Roman" w:hAnsiTheme="majorHAnsi" w:cs="Times New Roman"/>
          <w:b/>
          <w:bCs/>
          <w:noProof/>
          <w:sz w:val="32"/>
          <w:szCs w:val="32"/>
          <w:lang w:val="es-ES" w:eastAsia="es-ES"/>
        </w:rPr>
        <w:t>del IPC</w:t>
      </w:r>
      <w:r>
        <w:rPr>
          <w:rFonts w:asciiTheme="majorHAnsi" w:eastAsia="Times New Roman" w:hAnsiTheme="majorHAnsi" w:cs="Times New Roman"/>
          <w:b/>
          <w:bCs/>
          <w:noProof/>
          <w:sz w:val="32"/>
          <w:szCs w:val="32"/>
          <w:lang w:val="es-ES" w:eastAsia="es-ES"/>
        </w:rPr>
        <w:t xml:space="preserve"> en</w:t>
      </w:r>
      <w:r w:rsidRPr="007F0FF6">
        <w:rPr>
          <w:rFonts w:asciiTheme="majorHAnsi" w:eastAsia="Times New Roman" w:hAnsiTheme="majorHAnsi" w:cs="Times New Roman"/>
          <w:b/>
          <w:bCs/>
          <w:noProof/>
          <w:sz w:val="32"/>
          <w:szCs w:val="32"/>
          <w:lang w:val="es-ES" w:eastAsia="es-ES"/>
        </w:rPr>
        <w:t xml:space="preserve"> </w:t>
      </w:r>
      <w:r w:rsidR="00B855AB">
        <w:rPr>
          <w:rFonts w:asciiTheme="majorHAnsi" w:eastAsia="Times New Roman" w:hAnsiTheme="majorHAnsi" w:cs="Times New Roman"/>
          <w:b/>
          <w:bCs/>
          <w:noProof/>
          <w:sz w:val="32"/>
          <w:szCs w:val="32"/>
          <w:lang w:val="es-ES" w:eastAsia="es-ES"/>
        </w:rPr>
        <w:t>marzo</w:t>
      </w:r>
      <w:r w:rsidR="00284E16">
        <w:rPr>
          <w:rFonts w:asciiTheme="majorHAnsi" w:eastAsia="Times New Roman" w:hAnsiTheme="majorHAnsi" w:cs="Times New Roman"/>
          <w:b/>
          <w:bCs/>
          <w:noProof/>
          <w:sz w:val="32"/>
          <w:szCs w:val="32"/>
          <w:lang w:val="es-ES" w:eastAsia="es-ES"/>
        </w:rPr>
        <w:t xml:space="preserve"> de</w:t>
      </w:r>
      <w:r w:rsidRPr="007F0FF6">
        <w:rPr>
          <w:rFonts w:asciiTheme="majorHAnsi" w:eastAsia="Times New Roman" w:hAnsiTheme="majorHAnsi" w:cs="Times New Roman"/>
          <w:b/>
          <w:bCs/>
          <w:noProof/>
          <w:sz w:val="32"/>
          <w:szCs w:val="32"/>
          <w:lang w:val="es-ES" w:eastAsia="es-ES"/>
        </w:rPr>
        <w:t xml:space="preserve"> 20</w:t>
      </w:r>
      <w:r w:rsidR="00C237BC">
        <w:rPr>
          <w:rFonts w:asciiTheme="majorHAnsi" w:eastAsia="Times New Roman" w:hAnsiTheme="majorHAnsi" w:cs="Times New Roman"/>
          <w:b/>
          <w:bCs/>
          <w:noProof/>
          <w:sz w:val="32"/>
          <w:szCs w:val="32"/>
          <w:lang w:val="es-ES" w:eastAsia="es-ES"/>
        </w:rPr>
        <w:t>22</w:t>
      </w:r>
    </w:p>
    <w:p w14:paraId="3333D620" w14:textId="77777777" w:rsidR="00DF7E48" w:rsidRPr="00DF7E48" w:rsidRDefault="007F0FF6" w:rsidP="00DF7E48">
      <w:pPr>
        <w:jc w:val="both"/>
        <w:rPr>
          <w:rFonts w:asciiTheme="majorHAnsi" w:hAnsiTheme="majorHAnsi"/>
          <w:b/>
          <w:color w:val="0E1F6F"/>
          <w:sz w:val="28"/>
        </w:rPr>
      </w:pPr>
      <w:r w:rsidRPr="001E2D9F">
        <w:rPr>
          <w:rFonts w:asciiTheme="majorHAnsi" w:eastAsia="Times New Roman" w:hAnsiTheme="majorHAnsi" w:cs="Times New Roman"/>
          <w:b/>
          <w:bCs/>
          <w:noProof/>
          <w:sz w:val="32"/>
          <w:szCs w:val="3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E61D90" wp14:editId="6F08F81F">
                <wp:simplePos x="0" y="0"/>
                <wp:positionH relativeFrom="column">
                  <wp:posOffset>-46990</wp:posOffset>
                </wp:positionH>
                <wp:positionV relativeFrom="paragraph">
                  <wp:posOffset>42545</wp:posOffset>
                </wp:positionV>
                <wp:extent cx="5438775" cy="0"/>
                <wp:effectExtent l="0" t="0" r="9525" b="1905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E1F6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DFFD51" id="Conector recto 1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.7pt,3.35pt" to="424.5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" strokecolor="#0e1f6f" strokeweight="2pt">
                <o:lock v:ext="edit" shapetype="f"/>
              </v:line>
            </w:pict>
          </mc:Fallback>
        </mc:AlternateContent>
      </w:r>
    </w:p>
    <w:p w14:paraId="275F7466" w14:textId="72BBE5C9" w:rsidR="002A414A" w:rsidRDefault="009E21D1" w:rsidP="002A414A">
      <w:pPr>
        <w:pStyle w:val="Prrafodelista"/>
        <w:numPr>
          <w:ilvl w:val="0"/>
          <w:numId w:val="6"/>
        </w:numPr>
        <w:spacing w:after="0"/>
        <w:ind w:left="426"/>
        <w:jc w:val="both"/>
        <w:rPr>
          <w:rFonts w:asciiTheme="majorHAnsi" w:hAnsiTheme="majorHAnsi"/>
          <w:b/>
          <w:color w:val="0E1F6F"/>
          <w:sz w:val="28"/>
        </w:rPr>
      </w:pPr>
      <w:r>
        <w:rPr>
          <w:rFonts w:asciiTheme="majorHAnsi" w:hAnsiTheme="majorHAnsi"/>
          <w:b/>
          <w:color w:val="0E1F6F"/>
          <w:sz w:val="28"/>
        </w:rPr>
        <w:t>Inflación en máximos: +10% Murcia; +9,8</w:t>
      </w:r>
      <w:r w:rsidR="002A414A" w:rsidRPr="002A414A">
        <w:rPr>
          <w:rFonts w:asciiTheme="majorHAnsi" w:hAnsiTheme="majorHAnsi"/>
          <w:b/>
          <w:color w:val="0E1F6F"/>
          <w:sz w:val="28"/>
        </w:rPr>
        <w:t xml:space="preserve"> España.</w:t>
      </w:r>
    </w:p>
    <w:p w14:paraId="2D6B46A2" w14:textId="6E7BCA5E" w:rsidR="007035D9" w:rsidRDefault="007035D9" w:rsidP="002A414A">
      <w:pPr>
        <w:pStyle w:val="Prrafodelista"/>
        <w:numPr>
          <w:ilvl w:val="0"/>
          <w:numId w:val="6"/>
        </w:numPr>
        <w:spacing w:after="0"/>
        <w:ind w:left="426"/>
        <w:jc w:val="both"/>
        <w:rPr>
          <w:rFonts w:asciiTheme="majorHAnsi" w:hAnsiTheme="majorHAnsi"/>
          <w:b/>
          <w:color w:val="0E1F6F"/>
          <w:sz w:val="28"/>
        </w:rPr>
      </w:pPr>
      <w:r>
        <w:rPr>
          <w:rFonts w:asciiTheme="majorHAnsi" w:hAnsiTheme="majorHAnsi"/>
          <w:b/>
          <w:color w:val="0E1F6F"/>
          <w:sz w:val="28"/>
        </w:rPr>
        <w:t>Es la cifra más elevada en 38 años.</w:t>
      </w:r>
    </w:p>
    <w:p w14:paraId="1E0F6219" w14:textId="76D2ED7A" w:rsidR="007035D9" w:rsidRPr="002A414A" w:rsidRDefault="007035D9" w:rsidP="002A414A">
      <w:pPr>
        <w:pStyle w:val="Prrafodelista"/>
        <w:numPr>
          <w:ilvl w:val="0"/>
          <w:numId w:val="6"/>
        </w:numPr>
        <w:spacing w:after="0"/>
        <w:ind w:left="426"/>
        <w:jc w:val="both"/>
        <w:rPr>
          <w:rFonts w:asciiTheme="majorHAnsi" w:hAnsiTheme="majorHAnsi"/>
          <w:b/>
          <w:color w:val="0E1F6F"/>
          <w:sz w:val="28"/>
        </w:rPr>
      </w:pPr>
      <w:r>
        <w:rPr>
          <w:rFonts w:asciiTheme="majorHAnsi" w:hAnsiTheme="majorHAnsi"/>
          <w:b/>
          <w:color w:val="0E1F6F"/>
          <w:sz w:val="28"/>
        </w:rPr>
        <w:t>Electricidad y carburantes se encarecen más de un 40%</w:t>
      </w:r>
      <w:r w:rsidR="008E58FA">
        <w:rPr>
          <w:rFonts w:asciiTheme="majorHAnsi" w:hAnsiTheme="majorHAnsi"/>
          <w:b/>
          <w:color w:val="0E1F6F"/>
          <w:sz w:val="28"/>
        </w:rPr>
        <w:t xml:space="preserve"> anual</w:t>
      </w:r>
      <w:r>
        <w:rPr>
          <w:rFonts w:asciiTheme="majorHAnsi" w:hAnsiTheme="majorHAnsi"/>
          <w:b/>
          <w:color w:val="0E1F6F"/>
          <w:sz w:val="28"/>
        </w:rPr>
        <w:t>.</w:t>
      </w:r>
    </w:p>
    <w:p w14:paraId="405C7C75" w14:textId="6ED2E6A0" w:rsidR="002A414A" w:rsidRPr="009E2E87" w:rsidRDefault="002A414A" w:rsidP="000B18EE">
      <w:pPr>
        <w:pStyle w:val="Prrafodelista"/>
        <w:numPr>
          <w:ilvl w:val="0"/>
          <w:numId w:val="6"/>
        </w:numPr>
        <w:spacing w:after="0"/>
        <w:ind w:left="426"/>
        <w:jc w:val="both"/>
        <w:rPr>
          <w:rFonts w:asciiTheme="majorHAnsi" w:hAnsiTheme="majorHAnsi"/>
          <w:b/>
          <w:color w:val="0E1F6F"/>
          <w:sz w:val="28"/>
        </w:rPr>
      </w:pPr>
      <w:r>
        <w:rPr>
          <w:rFonts w:asciiTheme="majorHAnsi" w:hAnsiTheme="majorHAnsi"/>
          <w:b/>
          <w:color w:val="0E1F6F"/>
          <w:sz w:val="28"/>
        </w:rPr>
        <w:t>Descontando alimentos y energía, los precios aumentan un 3,</w:t>
      </w:r>
      <w:r w:rsidR="00B61E8A">
        <w:rPr>
          <w:rFonts w:asciiTheme="majorHAnsi" w:hAnsiTheme="majorHAnsi"/>
          <w:b/>
          <w:color w:val="0E1F6F"/>
          <w:sz w:val="28"/>
        </w:rPr>
        <w:t>9</w:t>
      </w:r>
      <w:r>
        <w:rPr>
          <w:rFonts w:asciiTheme="majorHAnsi" w:hAnsiTheme="majorHAnsi"/>
          <w:b/>
          <w:color w:val="0E1F6F"/>
          <w:sz w:val="28"/>
        </w:rPr>
        <w:t>%</w:t>
      </w:r>
    </w:p>
    <w:p w14:paraId="16469968" w14:textId="2335E2C7" w:rsidR="00462A0A" w:rsidRPr="00B003BE" w:rsidRDefault="00462A0A" w:rsidP="003B6602">
      <w:pPr>
        <w:pStyle w:val="Prrafodelista"/>
        <w:numPr>
          <w:ilvl w:val="0"/>
          <w:numId w:val="6"/>
        </w:numPr>
        <w:spacing w:after="0"/>
        <w:ind w:left="426"/>
        <w:jc w:val="both"/>
        <w:rPr>
          <w:rFonts w:asciiTheme="majorHAnsi" w:hAnsiTheme="majorHAnsi"/>
          <w:b/>
          <w:color w:val="0E1F6F"/>
          <w:sz w:val="28"/>
        </w:rPr>
      </w:pPr>
      <w:r>
        <w:rPr>
          <w:rFonts w:asciiTheme="majorHAnsi" w:hAnsiTheme="majorHAnsi"/>
          <w:b/>
          <w:color w:val="0E1F6F"/>
          <w:sz w:val="28"/>
        </w:rPr>
        <w:t>El efec</w:t>
      </w:r>
      <w:r w:rsidR="001A4019">
        <w:rPr>
          <w:rFonts w:asciiTheme="majorHAnsi" w:hAnsiTheme="majorHAnsi"/>
          <w:b/>
          <w:color w:val="0E1F6F"/>
          <w:sz w:val="28"/>
        </w:rPr>
        <w:t xml:space="preserve">to de segunda ronda al resto de grupos cada vez </w:t>
      </w:r>
      <w:r w:rsidR="00A50F7F">
        <w:rPr>
          <w:rFonts w:asciiTheme="majorHAnsi" w:hAnsiTheme="majorHAnsi"/>
          <w:b/>
          <w:color w:val="0E1F6F"/>
          <w:sz w:val="28"/>
        </w:rPr>
        <w:t>más</w:t>
      </w:r>
      <w:r>
        <w:rPr>
          <w:rFonts w:asciiTheme="majorHAnsi" w:hAnsiTheme="majorHAnsi"/>
          <w:b/>
          <w:color w:val="0E1F6F"/>
          <w:sz w:val="28"/>
        </w:rPr>
        <w:t xml:space="preserve"> not</w:t>
      </w:r>
      <w:r w:rsidR="001A4019">
        <w:rPr>
          <w:rFonts w:asciiTheme="majorHAnsi" w:hAnsiTheme="majorHAnsi"/>
          <w:b/>
          <w:color w:val="0E1F6F"/>
          <w:sz w:val="28"/>
        </w:rPr>
        <w:t>able</w:t>
      </w:r>
    </w:p>
    <w:p w14:paraId="233A6691" w14:textId="77777777" w:rsidR="00290342" w:rsidRDefault="00290342" w:rsidP="00D32955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</w:p>
    <w:p w14:paraId="042B8B06" w14:textId="3BACD6A9" w:rsidR="00714F4A" w:rsidRDefault="00714F4A" w:rsidP="00714F4A">
      <w:pPr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  <w:r w:rsidRPr="00B855A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La inflación de la Región de Murcia volvió a marcar máximos en </w:t>
      </w:r>
      <w:r w:rsidR="00B855AB" w:rsidRPr="00B855A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marzo</w:t>
      </w:r>
      <w:r w:rsidRPr="00B855A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en línea con la senda ascendente que había iniciado en la anualidad anterior. En particular, el Índice de Precios de Consumo (IPC) alcanza una tasa de variación interanual </w:t>
      </w:r>
      <w:r w:rsidRP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del </w:t>
      </w:r>
      <w:r w:rsidR="009E21D1" w:rsidRP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10</w:t>
      </w:r>
      <w:r w:rsidRP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%</w:t>
      </w:r>
      <w:r w:rsidR="009E21D1" w:rsidRP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, frente al 7,7% de febrero</w:t>
      </w:r>
      <w:r w:rsidRP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. </w:t>
      </w:r>
      <w:r w:rsidR="007035D9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Esta</w:t>
      </w:r>
      <w:r w:rsidRP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cifra </w:t>
      </w:r>
      <w:r w:rsidR="007035D9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supera en dos décimas a</w:t>
      </w:r>
      <w:r w:rsidRP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la </w:t>
      </w:r>
      <w:r w:rsid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nacional (9</w:t>
      </w:r>
      <w:r w:rsidRP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,</w:t>
      </w:r>
      <w:r w:rsid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8</w:t>
      </w:r>
      <w:r w:rsidRP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%)</w:t>
      </w:r>
      <w:r w:rsidR="007035D9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, y es la más elevada desde septiembre de 1984</w:t>
      </w:r>
      <w:r w:rsidR="007035D9">
        <w:rPr>
          <w:rStyle w:val="Refdenotaalpie"/>
          <w:rFonts w:asciiTheme="majorHAnsi" w:eastAsia="Times New Roman" w:hAnsiTheme="majorHAnsi" w:cs="Times New Roman"/>
          <w:sz w:val="28"/>
          <w:szCs w:val="28"/>
          <w:lang w:val="es-ES" w:eastAsia="es-ES"/>
        </w:rPr>
        <w:footnoteReference w:id="1"/>
      </w:r>
      <w:r w:rsidRPr="009E21D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.</w:t>
      </w:r>
    </w:p>
    <w:p w14:paraId="39253DA5" w14:textId="64BAA507" w:rsidR="00AF282B" w:rsidRDefault="00AF282B" w:rsidP="00714F4A">
      <w:pPr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  <w:bookmarkStart w:id="0" w:name="_GoBack"/>
      <w:bookmarkEnd w:id="0"/>
    </w:p>
    <w:p w14:paraId="6759DF53" w14:textId="44CE6E57" w:rsidR="00AF282B" w:rsidRPr="00C962CB" w:rsidRDefault="00AF282B" w:rsidP="00714F4A">
      <w:pPr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  <w:r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En este sentido, las presiones inflacionistas son prácticamente generalizadas</w:t>
      </w:r>
      <w:r w:rsidR="00FB3949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y más intensas que en las mensualidades inmediatamente anteriores. De hecho</w:t>
      </w:r>
      <w:r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,</w:t>
      </w:r>
      <w:r w:rsidR="00FB3949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nueve de los doce grupos que componen el IPC </w:t>
      </w:r>
      <w:r w:rsid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aumentan</w:t>
      </w:r>
      <w:r w:rsidR="00FB3949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su tasa anual respecto a febrero, y </w:t>
      </w:r>
      <w:r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la mitad (seis) </w:t>
      </w:r>
      <w:r w:rsidR="00FB3949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registran tasas </w:t>
      </w:r>
      <w:r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iguales o superiores al 4%. </w:t>
      </w:r>
      <w:r w:rsidR="00036FB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D</w:t>
      </w:r>
      <w:r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os </w:t>
      </w:r>
      <w:r w:rsidR="00036FB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de ellos incluso </w:t>
      </w:r>
      <w:r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alcanzan alzas </w:t>
      </w:r>
      <w:r w:rsidR="00036FB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superiores al 20</w:t>
      </w:r>
      <w:r w:rsidR="00036FB1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%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. El primero, gastos asociados a Vivienda, con un repunte del </w:t>
      </w:r>
      <w:r w:rsidR="00036FB1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32,1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% (7,</w:t>
      </w:r>
      <w:r w:rsidR="00036FB1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8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puntos más que en </w:t>
      </w:r>
      <w:r w:rsidR="00036FB1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febrero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), debido al coste</w:t>
      </w:r>
      <w:r w:rsidR="0034124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disparado y sin precedentes 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de electricidad, gas y otros combustibles domésticos (+</w:t>
      </w:r>
      <w:r w:rsidR="0034124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85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,</w:t>
      </w:r>
      <w:r w:rsidR="0034124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0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% desde el ya </w:t>
      </w:r>
      <w:r w:rsidR="0034124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muy 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elevado </w:t>
      </w:r>
      <w:r w:rsidR="0034124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+64,7%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de </w:t>
      </w:r>
      <w:r w:rsidR="0034124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febr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ero). El segundo, Transporte, con un encarecimiento anual del </w:t>
      </w:r>
      <w:r w:rsidR="00036FB1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21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,</w:t>
      </w:r>
      <w:r w:rsidR="00036FB1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0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% (</w:t>
      </w:r>
      <w:r w:rsidR="00036FB1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6,5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puntos superior al del mes anterior) donde juegan un papel relevante los Carburantes y combustibles (+</w:t>
      </w:r>
      <w:r w:rsidR="00107EA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40,6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%</w:t>
      </w:r>
      <w:r w:rsidR="00107EA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, justo antes de que entrara en vigor</w:t>
      </w:r>
      <w:r w:rsidR="00A868E6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la bonificación extraordinaria aprobada por el Gobierno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). </w:t>
      </w:r>
      <w:r w:rsidR="00195C3F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Otro grupo que incluye bienes de primera necesidad, Alimentac</w:t>
      </w:r>
      <w:r w:rsidR="00107EA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i</w:t>
      </w:r>
      <w:r w:rsidR="00195C3F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ón y bebida</w:t>
      </w:r>
      <w:r w:rsidR="00107EA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s</w:t>
      </w:r>
      <w:r w:rsidR="00195C3F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no alcohólicas, también </w:t>
      </w:r>
      <w:r w:rsidR="00C962CB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registra</w:t>
      </w:r>
      <w:r w:rsidR="00195C3F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encarecimientos sustanciales, del 7,2% en promedio. 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En los restantes, los 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lastRenderedPageBreak/>
        <w:t>valores oscilan entre un mínimo del -0,</w:t>
      </w:r>
      <w:r w:rsidR="00195C3F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5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% en Comunicaciones, y un máximo del +</w:t>
      </w:r>
      <w:r w:rsidR="00036FB1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6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,2% en Vestido y Calzado.</w:t>
      </w:r>
    </w:p>
    <w:p w14:paraId="0F4D411C" w14:textId="38C8F31F" w:rsidR="000B18EE" w:rsidRPr="00C962CB" w:rsidRDefault="000B18EE" w:rsidP="003B6602">
      <w:pPr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</w:p>
    <w:p w14:paraId="1E334BAD" w14:textId="69D42BEC" w:rsidR="00714F4A" w:rsidRPr="00C962CB" w:rsidRDefault="00AA0447" w:rsidP="00AA0447">
      <w:pPr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De hecho, s</w:t>
      </w:r>
      <w:r w:rsidR="00714F4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i se excluyen del cálculo </w:t>
      </w:r>
      <w:r w:rsidR="00C962CB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los elementos</w:t>
      </w:r>
      <w:r w:rsidR="00714F4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más volátiles como alimentos no elaborados y energía, se tiene que la denominada inflación subyacente repunta</w:t>
      </w:r>
      <w:r w:rsidR="009E21D1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seis décimas, hasta el 3,9</w:t>
      </w:r>
      <w:r w:rsidR="00714F4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%, tasa superior a la nacional (3</w:t>
      </w:r>
      <w:r w:rsidR="009E21D1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,4</w:t>
      </w:r>
      <w:r w:rsidR="00714F4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%).   </w:t>
      </w:r>
    </w:p>
    <w:p w14:paraId="30EAF80D" w14:textId="77777777" w:rsidR="00714F4A" w:rsidRPr="00C962CB" w:rsidRDefault="00714F4A" w:rsidP="00714F4A">
      <w:pPr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</w:p>
    <w:p w14:paraId="3C081587" w14:textId="79AEB750" w:rsidR="00BB52B1" w:rsidRDefault="00714F4A" w:rsidP="00714F4A">
      <w:pPr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En definitiva, la inflaci</w:t>
      </w:r>
      <w:r w:rsidR="00F146E3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ón regional en el mes de marzo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sigue por su senda alcista </w:t>
      </w:r>
      <w:r w:rsidR="003410D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hasta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niveles nunca vistos en</w:t>
      </w:r>
      <w:r w:rsidR="003410D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</w:t>
      </w:r>
      <w:r w:rsidR="00107EA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casi cuarenta años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. </w:t>
      </w:r>
      <w:r w:rsidR="003410D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Aunque originada en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el componente energético, </w:t>
      </w:r>
      <w:r w:rsidR="003410D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esta dinámica 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comienza a</w:t>
      </w:r>
      <w:r w:rsidR="003410D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trasladarse de manera 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importante a otros grupos. </w:t>
      </w:r>
      <w:r w:rsidR="003410D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En particular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,</w:t>
      </w:r>
      <w:r w:rsidR="006F52A8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ocho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de los doce grupos que componen la cesta de la compra rebasan ya el objetivo</w:t>
      </w:r>
      <w:r w:rsidR="003410D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d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el Banco Central Europeo</w:t>
      </w:r>
      <w:r w:rsidR="003410D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(2%)</w:t>
      </w:r>
      <w:r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,</w:t>
      </w:r>
      <w:r w:rsidR="003410DA" w:rsidRP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</w:t>
      </w:r>
      <w:r w:rsidR="003410DA" w:rsidRP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y seis igualan o superan el 4%</w:t>
      </w:r>
      <w:r w:rsidRP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. </w:t>
      </w:r>
      <w:r w:rsidR="00BB52B1" w:rsidRP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Aunque en marzo</w:t>
      </w:r>
      <w:r w:rsidR="003410DA" w:rsidRP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las tensiones se ve</w:t>
      </w:r>
      <w:r w:rsidR="00BB52B1" w:rsidRP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ían</w:t>
      </w:r>
      <w:r w:rsidR="003410DA" w:rsidRP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</w:t>
      </w:r>
      <w:r w:rsidR="002A414A" w:rsidRP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levemente minoradas </w:t>
      </w:r>
      <w:r w:rsidR="006F52A8" w:rsidRP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por la reducción de tributos eléctricos aprobada en el tramo final de 2021</w:t>
      </w:r>
      <w:r w:rsidR="00BB52B1" w:rsidRP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-</w:t>
      </w:r>
      <w:r w:rsidR="006F52A8" w:rsidRP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sin la cual </w:t>
      </w:r>
      <w:r w:rsidR="00BB52B1" w:rsidRP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los precios nacionales habrían repuntado </w:t>
      </w:r>
      <w:r w:rsidR="00BB52B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aún más, un 10,7%-, habrá que esperar </w:t>
      </w:r>
      <w:r w:rsid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a meses venideros </w:t>
      </w:r>
      <w:r w:rsidR="00BB52B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para evaluar correctamente el </w:t>
      </w:r>
      <w:r w:rsidR="00C962CB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>impacto</w:t>
      </w:r>
      <w:r w:rsidR="00BB52B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de las medidas aprobadas recientemente las distintas Administraciones Públicas</w:t>
      </w:r>
      <w:r w:rsidR="002D4FDE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 para frenar el shock inflacionario</w:t>
      </w:r>
      <w:r w:rsidR="00BB52B1"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  <w:t xml:space="preserve">.  </w:t>
      </w:r>
    </w:p>
    <w:p w14:paraId="228621FA" w14:textId="77777777" w:rsidR="00BB52B1" w:rsidRDefault="00BB52B1" w:rsidP="00714F4A">
      <w:pPr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</w:p>
    <w:p w14:paraId="4D0134F7" w14:textId="77777777" w:rsidR="00435106" w:rsidRPr="006F18E4" w:rsidRDefault="00435106" w:rsidP="003B6602">
      <w:pPr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</w:p>
    <w:p w14:paraId="5BCEF9ED" w14:textId="77777777" w:rsidR="007035D9" w:rsidRPr="007F0FF6" w:rsidRDefault="007035D9" w:rsidP="007035D9">
      <w:pPr>
        <w:spacing w:after="0"/>
        <w:jc w:val="center"/>
        <w:rPr>
          <w:rFonts w:asciiTheme="majorHAnsi" w:hAnsiTheme="majorHAnsi"/>
          <w:color w:val="0E1F6F"/>
          <w:sz w:val="28"/>
        </w:rPr>
      </w:pPr>
      <w:r w:rsidRPr="007F0FF6">
        <w:rPr>
          <w:rFonts w:asciiTheme="majorHAnsi" w:hAnsiTheme="majorHAnsi"/>
          <w:color w:val="0E1F6F"/>
          <w:sz w:val="28"/>
        </w:rPr>
        <w:t>-------------------------------------------------------</w:t>
      </w:r>
    </w:p>
    <w:p w14:paraId="2E56CEAB" w14:textId="77777777" w:rsidR="007035D9" w:rsidRDefault="007035D9" w:rsidP="007035D9">
      <w:pPr>
        <w:spacing w:after="0"/>
        <w:ind w:firstLine="708"/>
        <w:jc w:val="both"/>
        <w:rPr>
          <w:rFonts w:asciiTheme="majorHAnsi" w:hAnsiTheme="majorHAnsi"/>
          <w:i/>
          <w:color w:val="0E1F6F"/>
          <w:sz w:val="28"/>
        </w:rPr>
      </w:pPr>
    </w:p>
    <w:p w14:paraId="53433A3B" w14:textId="77777777" w:rsidR="007035D9" w:rsidRDefault="007035D9" w:rsidP="007035D9">
      <w:pPr>
        <w:spacing w:after="0"/>
        <w:ind w:firstLine="708"/>
        <w:jc w:val="both"/>
        <w:rPr>
          <w:rFonts w:asciiTheme="majorHAnsi" w:hAnsiTheme="majorHAnsi"/>
          <w:i/>
          <w:color w:val="0E1F6F"/>
          <w:sz w:val="28"/>
        </w:rPr>
      </w:pPr>
      <w:r w:rsidRPr="007F0FF6">
        <w:rPr>
          <w:rFonts w:asciiTheme="majorHAnsi" w:hAnsiTheme="majorHAnsi"/>
          <w:i/>
          <w:color w:val="0E1F6F"/>
          <w:sz w:val="28"/>
        </w:rPr>
        <w:t>Para ampliar información o resolver cualquier posible duda, puede ponerse en contacto con el Departamento de Economía de CROEM en el número d</w:t>
      </w:r>
      <w:r>
        <w:rPr>
          <w:rFonts w:asciiTheme="majorHAnsi" w:hAnsiTheme="majorHAnsi"/>
          <w:i/>
          <w:color w:val="0E1F6F"/>
          <w:sz w:val="28"/>
        </w:rPr>
        <w:t>e</w:t>
      </w:r>
      <w:r w:rsidRPr="007F0FF6">
        <w:rPr>
          <w:rFonts w:asciiTheme="majorHAnsi" w:hAnsiTheme="majorHAnsi"/>
          <w:i/>
          <w:color w:val="0E1F6F"/>
          <w:sz w:val="28"/>
        </w:rPr>
        <w:t xml:space="preserve"> teléfono   968 29 38 00.</w:t>
      </w:r>
      <w:r w:rsidRPr="007811AF">
        <w:rPr>
          <w:rFonts w:asciiTheme="majorHAnsi" w:hAnsiTheme="majorHAnsi"/>
          <w:i/>
          <w:color w:val="0E1F6F"/>
          <w:sz w:val="28"/>
        </w:rPr>
        <w:t xml:space="preserve"> Se permite la reproducción total o parcial </w:t>
      </w:r>
      <w:r>
        <w:rPr>
          <w:rFonts w:asciiTheme="majorHAnsi" w:hAnsiTheme="majorHAnsi"/>
          <w:i/>
          <w:color w:val="0E1F6F"/>
          <w:sz w:val="28"/>
        </w:rPr>
        <w:t>de este informe</w:t>
      </w:r>
      <w:r w:rsidRPr="007811AF">
        <w:rPr>
          <w:rFonts w:asciiTheme="majorHAnsi" w:hAnsiTheme="majorHAnsi"/>
          <w:i/>
          <w:color w:val="0E1F6F"/>
          <w:sz w:val="28"/>
        </w:rPr>
        <w:t>, siempre que se cite la fuente.</w:t>
      </w:r>
      <w:r>
        <w:rPr>
          <w:rFonts w:asciiTheme="majorHAnsi" w:hAnsiTheme="majorHAnsi"/>
          <w:i/>
          <w:color w:val="0E1F6F"/>
          <w:sz w:val="28"/>
        </w:rPr>
        <w:t xml:space="preserve"> </w:t>
      </w:r>
    </w:p>
    <w:p w14:paraId="551DC78B" w14:textId="77777777" w:rsidR="007035D9" w:rsidRPr="0068427A" w:rsidRDefault="007035D9" w:rsidP="007035D9">
      <w:pPr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</w:p>
    <w:p w14:paraId="62FA56F0" w14:textId="77777777" w:rsidR="00225244" w:rsidRPr="006F18E4" w:rsidRDefault="00225244" w:rsidP="00BD2A15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  <w:lang w:val="es-ES" w:eastAsia="es-ES"/>
        </w:rPr>
      </w:pPr>
    </w:p>
    <w:sectPr w:rsidR="00225244" w:rsidRPr="006F18E4" w:rsidSect="00EF09F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389" w:right="1701" w:bottom="1417" w:left="1701" w:header="142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25C40" w14:textId="77777777" w:rsidR="00423C49" w:rsidRDefault="00423C49" w:rsidP="00665F33">
      <w:pPr>
        <w:spacing w:after="0"/>
      </w:pPr>
      <w:r>
        <w:separator/>
      </w:r>
    </w:p>
  </w:endnote>
  <w:endnote w:type="continuationSeparator" w:id="0">
    <w:p w14:paraId="297B253B" w14:textId="77777777" w:rsidR="00423C49" w:rsidRDefault="00423C49" w:rsidP="00665F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230064"/>
      <w:docPartObj>
        <w:docPartGallery w:val="Page Numbers (Bottom of Page)"/>
        <w:docPartUnique/>
      </w:docPartObj>
    </w:sdtPr>
    <w:sdtEndPr/>
    <w:sdtContent>
      <w:p w14:paraId="66737628" w14:textId="77777777" w:rsidR="004B3564" w:rsidRDefault="004B3564">
        <w:pPr>
          <w:pStyle w:val="Piedepgina"/>
          <w:jc w:val="right"/>
        </w:pPr>
        <w:r w:rsidRPr="00BD6C5E">
          <w:rPr>
            <w:b/>
            <w:color w:val="0E1F6F"/>
          </w:rPr>
          <w:fldChar w:fldCharType="begin"/>
        </w:r>
        <w:r w:rsidRPr="00BD6C5E">
          <w:rPr>
            <w:b/>
            <w:color w:val="0E1F6F"/>
          </w:rPr>
          <w:instrText>PAGE   \* MERGEFORMAT</w:instrText>
        </w:r>
        <w:r w:rsidRPr="00BD6C5E">
          <w:rPr>
            <w:b/>
            <w:color w:val="0E1F6F"/>
          </w:rPr>
          <w:fldChar w:fldCharType="separate"/>
        </w:r>
        <w:r w:rsidR="003C3170" w:rsidRPr="003C3170">
          <w:rPr>
            <w:b/>
            <w:noProof/>
            <w:color w:val="0E1F6F"/>
            <w:lang w:val="es-ES"/>
          </w:rPr>
          <w:t>2</w:t>
        </w:r>
        <w:r w:rsidRPr="00BD6C5E">
          <w:rPr>
            <w:b/>
            <w:color w:val="0E1F6F"/>
          </w:rPr>
          <w:fldChar w:fldCharType="end"/>
        </w:r>
      </w:p>
    </w:sdtContent>
  </w:sdt>
  <w:p w14:paraId="7688C248" w14:textId="77777777" w:rsidR="004B3564" w:rsidRDefault="004B35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05671"/>
      <w:docPartObj>
        <w:docPartGallery w:val="Page Numbers (Bottom of Page)"/>
        <w:docPartUnique/>
      </w:docPartObj>
    </w:sdtPr>
    <w:sdtEndPr/>
    <w:sdtContent>
      <w:p w14:paraId="56E078B0" w14:textId="77777777" w:rsidR="004B3564" w:rsidRDefault="004B3564">
        <w:pPr>
          <w:pStyle w:val="Piedepgina"/>
          <w:jc w:val="right"/>
        </w:pPr>
        <w:r w:rsidRPr="00BA4866">
          <w:rPr>
            <w:b/>
            <w:noProof/>
            <w:color w:val="0E1F6F"/>
            <w:lang w:val="es-ES"/>
          </w:rPr>
          <w:fldChar w:fldCharType="begin"/>
        </w:r>
        <w:r w:rsidRPr="00BA4866">
          <w:rPr>
            <w:b/>
            <w:noProof/>
            <w:color w:val="0E1F6F"/>
            <w:lang w:val="es-ES"/>
          </w:rPr>
          <w:instrText>PAGE   \* MERGEFORMAT</w:instrText>
        </w:r>
        <w:r w:rsidRPr="00BA4866">
          <w:rPr>
            <w:b/>
            <w:noProof/>
            <w:color w:val="0E1F6F"/>
            <w:lang w:val="es-ES"/>
          </w:rPr>
          <w:fldChar w:fldCharType="separate"/>
        </w:r>
        <w:r w:rsidR="003C3170">
          <w:rPr>
            <w:b/>
            <w:noProof/>
            <w:color w:val="0E1F6F"/>
            <w:lang w:val="es-ES"/>
          </w:rPr>
          <w:t>1</w:t>
        </w:r>
        <w:r w:rsidRPr="00BA4866">
          <w:rPr>
            <w:b/>
            <w:noProof/>
            <w:color w:val="0E1F6F"/>
            <w:lang w:val="es-ES"/>
          </w:rPr>
          <w:fldChar w:fldCharType="end"/>
        </w:r>
      </w:p>
    </w:sdtContent>
  </w:sdt>
  <w:p w14:paraId="7C82D72B" w14:textId="77777777" w:rsidR="004B3564" w:rsidRDefault="004B35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4FB05" w14:textId="77777777" w:rsidR="00423C49" w:rsidRDefault="00423C49" w:rsidP="00665F33">
      <w:pPr>
        <w:spacing w:after="0"/>
      </w:pPr>
      <w:r>
        <w:separator/>
      </w:r>
    </w:p>
  </w:footnote>
  <w:footnote w:type="continuationSeparator" w:id="0">
    <w:p w14:paraId="259FC084" w14:textId="77777777" w:rsidR="00423C49" w:rsidRDefault="00423C49" w:rsidP="00665F33">
      <w:pPr>
        <w:spacing w:after="0"/>
      </w:pPr>
      <w:r>
        <w:continuationSeparator/>
      </w:r>
    </w:p>
  </w:footnote>
  <w:footnote w:id="1">
    <w:p w14:paraId="70B3DBCC" w14:textId="6EF972F4" w:rsidR="007035D9" w:rsidRPr="007035D9" w:rsidRDefault="007035D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Debe tenerse en cuenta, no obstante, que la serie estadística no es homogénea, pues hay rupturas metodológicas en 1993 y 2002.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439D4" w14:textId="77777777" w:rsidR="004B3564" w:rsidRDefault="00423C49">
    <w:pPr>
      <w:pStyle w:val="Encabezado"/>
    </w:pPr>
    <w:sdt>
      <w:sdtPr>
        <w:id w:val="-2123836188"/>
        <w:placeholder>
          <w:docPart w:val="4BF84128299BC64B994A2F45B9D5BF3E"/>
        </w:placeholder>
        <w:temporary/>
        <w:showingPlcHdr/>
      </w:sdtPr>
      <w:sdtEndPr/>
      <w:sdtContent>
        <w:r w:rsidR="004B3564">
          <w:rPr>
            <w:lang w:val="es-ES"/>
          </w:rPr>
          <w:t>[Escriba texto]</w:t>
        </w:r>
      </w:sdtContent>
    </w:sdt>
    <w:r w:rsidR="004B3564">
      <w:ptab w:relativeTo="margin" w:alignment="center" w:leader="none"/>
    </w:r>
    <w:sdt>
      <w:sdtPr>
        <w:id w:val="-1645115713"/>
        <w:placeholder>
          <w:docPart w:val="3113432E2E856F45B31831E7BA02B394"/>
        </w:placeholder>
        <w:temporary/>
        <w:showingPlcHdr/>
      </w:sdtPr>
      <w:sdtEndPr/>
      <w:sdtContent>
        <w:r w:rsidR="004B3564">
          <w:rPr>
            <w:lang w:val="es-ES"/>
          </w:rPr>
          <w:t>[Escriba texto]</w:t>
        </w:r>
      </w:sdtContent>
    </w:sdt>
    <w:r w:rsidR="004B3564">
      <w:ptab w:relativeTo="margin" w:alignment="right" w:leader="none"/>
    </w:r>
    <w:sdt>
      <w:sdtPr>
        <w:id w:val="-1329440333"/>
        <w:placeholder>
          <w:docPart w:val="FFD587F6754E4848851D0DCCB274A7DF"/>
        </w:placeholder>
        <w:temporary/>
        <w:showingPlcHdr/>
      </w:sdtPr>
      <w:sdtEndPr/>
      <w:sdtContent>
        <w:r w:rsidR="004B3564">
          <w:rPr>
            <w:lang w:val="es-ES"/>
          </w:rPr>
          <w:t>[Escriba texto]</w:t>
        </w:r>
      </w:sdtContent>
    </w:sdt>
  </w:p>
  <w:p w14:paraId="200B19B6" w14:textId="77777777" w:rsidR="004B3564" w:rsidRDefault="00423C49">
    <w:pPr>
      <w:pStyle w:val="Encabezado"/>
    </w:pPr>
    <w:r>
      <w:rPr>
        <w:noProof/>
        <w:lang w:val="es-ES" w:eastAsia="es-ES"/>
      </w:rPr>
      <w:pict w14:anchorId="21201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4.45pt;height:843.6pt;z-index:-251657728;mso-wrap-edited:f;mso-position-horizontal:center;mso-position-horizontal-relative:margin;mso-position-vertical:center;mso-position-vertical-relative:margin" wrapcoords="-27 0 -27 21561 21600 21561 21600 0 -27 0">
          <v:imagedata r:id="rId1" o:title="relacioneLav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6260D" w14:textId="77777777" w:rsidR="004B3564" w:rsidRPr="00665F33" w:rsidRDefault="004B3564" w:rsidP="00665F33">
    <w:pPr>
      <w:pStyle w:val="Encabezado"/>
      <w:ind w:left="-1701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B20982" wp14:editId="3423BFE8">
              <wp:simplePos x="0" y="0"/>
              <wp:positionH relativeFrom="column">
                <wp:posOffset>-440723</wp:posOffset>
              </wp:positionH>
              <wp:positionV relativeFrom="paragraph">
                <wp:posOffset>199424</wp:posOffset>
              </wp:positionV>
              <wp:extent cx="5346065" cy="290195"/>
              <wp:effectExtent l="0" t="0" r="6985" b="0"/>
              <wp:wrapNone/>
              <wp:docPr id="7" name="7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065" cy="2901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E0E7F" w14:textId="77777777" w:rsidR="004B3564" w:rsidRPr="00BB3CE0" w:rsidRDefault="004B3564">
                          <w:pPr>
                            <w:rPr>
                              <w:b/>
                              <w:color w:val="0E1F6F"/>
                              <w:sz w:val="22"/>
                            </w:rPr>
                          </w:pPr>
                          <w:r w:rsidRPr="007F0FF6">
                            <w:rPr>
                              <w:b/>
                              <w:color w:val="0E1F6F"/>
                              <w:sz w:val="22"/>
                            </w:rPr>
                            <w:t xml:space="preserve">Valoración CROEM  </w:t>
                          </w:r>
                          <w:r>
                            <w:rPr>
                              <w:b/>
                              <w:color w:val="0E1F6F"/>
                              <w:sz w:val="22"/>
                            </w:rPr>
                            <w:t>del IPC en la R. Murcia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B20982"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6" type="#_x0000_t202" style="position:absolute;left:0;text-align:left;margin-left:-34.7pt;margin-top:15.7pt;width:420.95pt;height:22.8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" fillcolor="white [3201]" stroked="f" strokeweight=".5pt">
              <v:textbox>
                <w:txbxContent>
                  <w:p w14:paraId="21BE0E7F" w14:textId="77777777" w:rsidR="004B3564" w:rsidRPr="00BB3CE0" w:rsidRDefault="004B3564">
                    <w:pPr>
                      <w:rPr>
                        <w:b/>
                        <w:color w:val="0E1F6F"/>
                        <w:sz w:val="22"/>
                      </w:rPr>
                    </w:pPr>
                    <w:r w:rsidRPr="007F0FF6">
                      <w:rPr>
                        <w:b/>
                        <w:color w:val="0E1F6F"/>
                        <w:sz w:val="22"/>
                      </w:rPr>
                      <w:t xml:space="preserve">Valoración CROEM  </w:t>
                    </w:r>
                    <w:r>
                      <w:rPr>
                        <w:b/>
                        <w:color w:val="0E1F6F"/>
                        <w:sz w:val="22"/>
                      </w:rPr>
                      <w:t>del IPC en la R. Murcia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5A85EE89" wp14:editId="5F1CF401">
          <wp:simplePos x="0" y="0"/>
          <wp:positionH relativeFrom="column">
            <wp:posOffset>-1080135</wp:posOffset>
          </wp:positionH>
          <wp:positionV relativeFrom="paragraph">
            <wp:posOffset>109855</wp:posOffset>
          </wp:positionV>
          <wp:extent cx="7595235" cy="446405"/>
          <wp:effectExtent l="0" t="0" r="571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CRO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35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CA528" w14:textId="77777777" w:rsidR="004B3564" w:rsidRDefault="004B3564" w:rsidP="002431F0">
    <w:pPr>
      <w:pStyle w:val="Encabezado"/>
      <w:ind w:left="-1701"/>
    </w:pPr>
    <w:r>
      <w:rPr>
        <w:noProof/>
        <w:lang w:val="es-ES" w:eastAsia="es-ES"/>
      </w:rPr>
      <w:drawing>
        <wp:inline distT="0" distB="0" distL="0" distR="0" wp14:anchorId="74C9BC54" wp14:editId="7A4AC6EB">
          <wp:extent cx="7571874" cy="1386274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874" cy="138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9FF"/>
    <w:multiLevelType w:val="hybridMultilevel"/>
    <w:tmpl w:val="6DD4F2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0D4414"/>
    <w:multiLevelType w:val="hybridMultilevel"/>
    <w:tmpl w:val="ED348A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E5F98"/>
    <w:multiLevelType w:val="hybridMultilevel"/>
    <w:tmpl w:val="302C86B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8D7EF2"/>
    <w:multiLevelType w:val="hybridMultilevel"/>
    <w:tmpl w:val="DFA4191A"/>
    <w:lvl w:ilvl="0" w:tplc="0C0A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55E44754"/>
    <w:multiLevelType w:val="hybridMultilevel"/>
    <w:tmpl w:val="516AE8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61EBE"/>
    <w:multiLevelType w:val="hybridMultilevel"/>
    <w:tmpl w:val="2416C41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33"/>
    <w:rsid w:val="00004D81"/>
    <w:rsid w:val="0000573A"/>
    <w:rsid w:val="00007879"/>
    <w:rsid w:val="0001064F"/>
    <w:rsid w:val="0001589A"/>
    <w:rsid w:val="00020721"/>
    <w:rsid w:val="0002729C"/>
    <w:rsid w:val="00036FB1"/>
    <w:rsid w:val="00055C98"/>
    <w:rsid w:val="0006473A"/>
    <w:rsid w:val="000654F4"/>
    <w:rsid w:val="000808EF"/>
    <w:rsid w:val="00081D1B"/>
    <w:rsid w:val="00084EE0"/>
    <w:rsid w:val="00093A77"/>
    <w:rsid w:val="000A2E70"/>
    <w:rsid w:val="000A67AD"/>
    <w:rsid w:val="000B18EE"/>
    <w:rsid w:val="000B361D"/>
    <w:rsid w:val="000B5FE3"/>
    <w:rsid w:val="000C2666"/>
    <w:rsid w:val="000C4A40"/>
    <w:rsid w:val="000C6B97"/>
    <w:rsid w:val="000D015C"/>
    <w:rsid w:val="000D3065"/>
    <w:rsid w:val="000E5CED"/>
    <w:rsid w:val="00107EAA"/>
    <w:rsid w:val="00116297"/>
    <w:rsid w:val="00125AE6"/>
    <w:rsid w:val="00125D7A"/>
    <w:rsid w:val="00131407"/>
    <w:rsid w:val="00140F01"/>
    <w:rsid w:val="00144369"/>
    <w:rsid w:val="001501C2"/>
    <w:rsid w:val="00154408"/>
    <w:rsid w:val="001644E9"/>
    <w:rsid w:val="00171F81"/>
    <w:rsid w:val="00195C3F"/>
    <w:rsid w:val="001A261E"/>
    <w:rsid w:val="001A4019"/>
    <w:rsid w:val="001A4616"/>
    <w:rsid w:val="001B03F1"/>
    <w:rsid w:val="001B3859"/>
    <w:rsid w:val="001C6CCB"/>
    <w:rsid w:val="001D7963"/>
    <w:rsid w:val="001F4178"/>
    <w:rsid w:val="00201C88"/>
    <w:rsid w:val="00210FCA"/>
    <w:rsid w:val="00213F92"/>
    <w:rsid w:val="00225244"/>
    <w:rsid w:val="002431F0"/>
    <w:rsid w:val="00261D58"/>
    <w:rsid w:val="002727BE"/>
    <w:rsid w:val="00274CD0"/>
    <w:rsid w:val="00284E16"/>
    <w:rsid w:val="00287287"/>
    <w:rsid w:val="002900BC"/>
    <w:rsid w:val="00290342"/>
    <w:rsid w:val="002A0A78"/>
    <w:rsid w:val="002A414A"/>
    <w:rsid w:val="002B1D2B"/>
    <w:rsid w:val="002B5436"/>
    <w:rsid w:val="002B5E2D"/>
    <w:rsid w:val="002B7B2E"/>
    <w:rsid w:val="002C1A3C"/>
    <w:rsid w:val="002C4F27"/>
    <w:rsid w:val="002C7344"/>
    <w:rsid w:val="002D2686"/>
    <w:rsid w:val="002D4FDE"/>
    <w:rsid w:val="00311EA0"/>
    <w:rsid w:val="00316530"/>
    <w:rsid w:val="0032511E"/>
    <w:rsid w:val="00330FAB"/>
    <w:rsid w:val="00337055"/>
    <w:rsid w:val="003410DA"/>
    <w:rsid w:val="0034124A"/>
    <w:rsid w:val="00344107"/>
    <w:rsid w:val="0034637C"/>
    <w:rsid w:val="00350C34"/>
    <w:rsid w:val="00357F09"/>
    <w:rsid w:val="0036591F"/>
    <w:rsid w:val="00365A89"/>
    <w:rsid w:val="00367166"/>
    <w:rsid w:val="00377AEF"/>
    <w:rsid w:val="00380AB9"/>
    <w:rsid w:val="00381D70"/>
    <w:rsid w:val="00393F0F"/>
    <w:rsid w:val="003A1EF2"/>
    <w:rsid w:val="003A4E75"/>
    <w:rsid w:val="003A71B0"/>
    <w:rsid w:val="003A75A4"/>
    <w:rsid w:val="003B0FF2"/>
    <w:rsid w:val="003B5D88"/>
    <w:rsid w:val="003B6602"/>
    <w:rsid w:val="003C2CA6"/>
    <w:rsid w:val="003C3170"/>
    <w:rsid w:val="003C6B93"/>
    <w:rsid w:val="003E03BA"/>
    <w:rsid w:val="0040752E"/>
    <w:rsid w:val="00423C49"/>
    <w:rsid w:val="004253E8"/>
    <w:rsid w:val="004312AC"/>
    <w:rsid w:val="00435106"/>
    <w:rsid w:val="0044281E"/>
    <w:rsid w:val="00447054"/>
    <w:rsid w:val="00462737"/>
    <w:rsid w:val="00462A0A"/>
    <w:rsid w:val="00476D95"/>
    <w:rsid w:val="00481EED"/>
    <w:rsid w:val="00486CB8"/>
    <w:rsid w:val="004A46AD"/>
    <w:rsid w:val="004A56EF"/>
    <w:rsid w:val="004B3564"/>
    <w:rsid w:val="004C6A89"/>
    <w:rsid w:val="004E2909"/>
    <w:rsid w:val="005023BE"/>
    <w:rsid w:val="00515B9A"/>
    <w:rsid w:val="00516A9B"/>
    <w:rsid w:val="005209E1"/>
    <w:rsid w:val="00520B3A"/>
    <w:rsid w:val="00532DA1"/>
    <w:rsid w:val="0055176C"/>
    <w:rsid w:val="00571720"/>
    <w:rsid w:val="0057307F"/>
    <w:rsid w:val="0057561C"/>
    <w:rsid w:val="00580B0B"/>
    <w:rsid w:val="0058133F"/>
    <w:rsid w:val="005B7310"/>
    <w:rsid w:val="005D7211"/>
    <w:rsid w:val="00602519"/>
    <w:rsid w:val="00602974"/>
    <w:rsid w:val="00624159"/>
    <w:rsid w:val="00625AF1"/>
    <w:rsid w:val="00631490"/>
    <w:rsid w:val="006336E5"/>
    <w:rsid w:val="00641B36"/>
    <w:rsid w:val="00646F4A"/>
    <w:rsid w:val="00655D4B"/>
    <w:rsid w:val="00661255"/>
    <w:rsid w:val="00664307"/>
    <w:rsid w:val="00665DFF"/>
    <w:rsid w:val="00665F33"/>
    <w:rsid w:val="00667A11"/>
    <w:rsid w:val="00667A67"/>
    <w:rsid w:val="00667BC2"/>
    <w:rsid w:val="00673D8B"/>
    <w:rsid w:val="006807CB"/>
    <w:rsid w:val="0068427A"/>
    <w:rsid w:val="006B5DDE"/>
    <w:rsid w:val="006D4CF3"/>
    <w:rsid w:val="006D72FB"/>
    <w:rsid w:val="006E0D5D"/>
    <w:rsid w:val="006E1749"/>
    <w:rsid w:val="006E451C"/>
    <w:rsid w:val="006E5257"/>
    <w:rsid w:val="006E757A"/>
    <w:rsid w:val="006F18E4"/>
    <w:rsid w:val="006F52A8"/>
    <w:rsid w:val="007035D9"/>
    <w:rsid w:val="00714F4A"/>
    <w:rsid w:val="00715A7B"/>
    <w:rsid w:val="00721543"/>
    <w:rsid w:val="00723DD9"/>
    <w:rsid w:val="00733395"/>
    <w:rsid w:val="00751C29"/>
    <w:rsid w:val="00764ADA"/>
    <w:rsid w:val="0076667B"/>
    <w:rsid w:val="00767060"/>
    <w:rsid w:val="0077612A"/>
    <w:rsid w:val="007811AF"/>
    <w:rsid w:val="00792889"/>
    <w:rsid w:val="007B5DEF"/>
    <w:rsid w:val="007C20C4"/>
    <w:rsid w:val="007C726C"/>
    <w:rsid w:val="007D763F"/>
    <w:rsid w:val="007E6245"/>
    <w:rsid w:val="007F0FF6"/>
    <w:rsid w:val="008060BE"/>
    <w:rsid w:val="00815EC8"/>
    <w:rsid w:val="00822A19"/>
    <w:rsid w:val="008252AA"/>
    <w:rsid w:val="008359F2"/>
    <w:rsid w:val="008361D9"/>
    <w:rsid w:val="00850346"/>
    <w:rsid w:val="0086696A"/>
    <w:rsid w:val="00887D01"/>
    <w:rsid w:val="00895D4F"/>
    <w:rsid w:val="008A316F"/>
    <w:rsid w:val="008A3B65"/>
    <w:rsid w:val="008B05F7"/>
    <w:rsid w:val="008C1F90"/>
    <w:rsid w:val="008C4192"/>
    <w:rsid w:val="008D54E4"/>
    <w:rsid w:val="008D6A19"/>
    <w:rsid w:val="008E3A82"/>
    <w:rsid w:val="008E412D"/>
    <w:rsid w:val="008E58FA"/>
    <w:rsid w:val="008F1E9D"/>
    <w:rsid w:val="0090042E"/>
    <w:rsid w:val="00905443"/>
    <w:rsid w:val="00915D11"/>
    <w:rsid w:val="00915F4B"/>
    <w:rsid w:val="00917467"/>
    <w:rsid w:val="009317FB"/>
    <w:rsid w:val="00936654"/>
    <w:rsid w:val="00946D51"/>
    <w:rsid w:val="00955DFE"/>
    <w:rsid w:val="00961EDC"/>
    <w:rsid w:val="00967A7E"/>
    <w:rsid w:val="00982229"/>
    <w:rsid w:val="00983B97"/>
    <w:rsid w:val="00987E4E"/>
    <w:rsid w:val="009B4655"/>
    <w:rsid w:val="009C7073"/>
    <w:rsid w:val="009D02AC"/>
    <w:rsid w:val="009D4AFF"/>
    <w:rsid w:val="009D7334"/>
    <w:rsid w:val="009E21D1"/>
    <w:rsid w:val="009E407F"/>
    <w:rsid w:val="009E54F9"/>
    <w:rsid w:val="009F053E"/>
    <w:rsid w:val="009F2272"/>
    <w:rsid w:val="00A20FC1"/>
    <w:rsid w:val="00A35F9E"/>
    <w:rsid w:val="00A44001"/>
    <w:rsid w:val="00A50F7F"/>
    <w:rsid w:val="00A53F2E"/>
    <w:rsid w:val="00A767F9"/>
    <w:rsid w:val="00A868E6"/>
    <w:rsid w:val="00AA0447"/>
    <w:rsid w:val="00AD49D1"/>
    <w:rsid w:val="00AF282B"/>
    <w:rsid w:val="00AF6A9A"/>
    <w:rsid w:val="00AF708E"/>
    <w:rsid w:val="00B05837"/>
    <w:rsid w:val="00B10FDD"/>
    <w:rsid w:val="00B2085A"/>
    <w:rsid w:val="00B232DE"/>
    <w:rsid w:val="00B240AA"/>
    <w:rsid w:val="00B33502"/>
    <w:rsid w:val="00B33AA5"/>
    <w:rsid w:val="00B37E7E"/>
    <w:rsid w:val="00B42F13"/>
    <w:rsid w:val="00B45A52"/>
    <w:rsid w:val="00B45FFF"/>
    <w:rsid w:val="00B522B0"/>
    <w:rsid w:val="00B52FB1"/>
    <w:rsid w:val="00B61E8A"/>
    <w:rsid w:val="00B70D2E"/>
    <w:rsid w:val="00B8375F"/>
    <w:rsid w:val="00B855AB"/>
    <w:rsid w:val="00BA4866"/>
    <w:rsid w:val="00BB3CE0"/>
    <w:rsid w:val="00BB4959"/>
    <w:rsid w:val="00BB52B1"/>
    <w:rsid w:val="00BB7EE4"/>
    <w:rsid w:val="00BC1BBC"/>
    <w:rsid w:val="00BD2A15"/>
    <w:rsid w:val="00BD32CE"/>
    <w:rsid w:val="00BD6C5E"/>
    <w:rsid w:val="00BE4E87"/>
    <w:rsid w:val="00BE5CFA"/>
    <w:rsid w:val="00BF3FD2"/>
    <w:rsid w:val="00C037C1"/>
    <w:rsid w:val="00C1254F"/>
    <w:rsid w:val="00C237BC"/>
    <w:rsid w:val="00C25072"/>
    <w:rsid w:val="00C61250"/>
    <w:rsid w:val="00C71E2A"/>
    <w:rsid w:val="00C77489"/>
    <w:rsid w:val="00C955DB"/>
    <w:rsid w:val="00C962CB"/>
    <w:rsid w:val="00C9682D"/>
    <w:rsid w:val="00CA521D"/>
    <w:rsid w:val="00CA56F2"/>
    <w:rsid w:val="00CB4735"/>
    <w:rsid w:val="00CE2B0E"/>
    <w:rsid w:val="00CE6FE8"/>
    <w:rsid w:val="00CE797D"/>
    <w:rsid w:val="00D14BDF"/>
    <w:rsid w:val="00D2068A"/>
    <w:rsid w:val="00D25F2E"/>
    <w:rsid w:val="00D32134"/>
    <w:rsid w:val="00D32955"/>
    <w:rsid w:val="00D434D6"/>
    <w:rsid w:val="00D520E4"/>
    <w:rsid w:val="00D55C66"/>
    <w:rsid w:val="00D66AC9"/>
    <w:rsid w:val="00D7141A"/>
    <w:rsid w:val="00D75100"/>
    <w:rsid w:val="00D9263A"/>
    <w:rsid w:val="00D95F9F"/>
    <w:rsid w:val="00D96E37"/>
    <w:rsid w:val="00DA64BE"/>
    <w:rsid w:val="00DB0131"/>
    <w:rsid w:val="00DB739E"/>
    <w:rsid w:val="00DC3B25"/>
    <w:rsid w:val="00DE2166"/>
    <w:rsid w:val="00DF11F2"/>
    <w:rsid w:val="00DF49FD"/>
    <w:rsid w:val="00DF7E48"/>
    <w:rsid w:val="00E15FD0"/>
    <w:rsid w:val="00E202F4"/>
    <w:rsid w:val="00E216C5"/>
    <w:rsid w:val="00E34BF7"/>
    <w:rsid w:val="00E40AFC"/>
    <w:rsid w:val="00E64CE4"/>
    <w:rsid w:val="00E740FB"/>
    <w:rsid w:val="00E97631"/>
    <w:rsid w:val="00EA5BC4"/>
    <w:rsid w:val="00EC1024"/>
    <w:rsid w:val="00ED4534"/>
    <w:rsid w:val="00EF09F5"/>
    <w:rsid w:val="00F05297"/>
    <w:rsid w:val="00F13579"/>
    <w:rsid w:val="00F146E3"/>
    <w:rsid w:val="00F32524"/>
    <w:rsid w:val="00F35B62"/>
    <w:rsid w:val="00F36BFF"/>
    <w:rsid w:val="00F40DD8"/>
    <w:rsid w:val="00F432FC"/>
    <w:rsid w:val="00F46260"/>
    <w:rsid w:val="00F47074"/>
    <w:rsid w:val="00F51733"/>
    <w:rsid w:val="00F66DEF"/>
    <w:rsid w:val="00F716D9"/>
    <w:rsid w:val="00F904B9"/>
    <w:rsid w:val="00F9452F"/>
    <w:rsid w:val="00FA1F7A"/>
    <w:rsid w:val="00FA5449"/>
    <w:rsid w:val="00FB3921"/>
    <w:rsid w:val="00FB3949"/>
    <w:rsid w:val="00FC1881"/>
    <w:rsid w:val="00FD7BFC"/>
    <w:rsid w:val="00FF42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7B585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B2D76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65F3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65F3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65F3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F3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F49FD"/>
    <w:pPr>
      <w:spacing w:line="276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semiHidden/>
    <w:rsid w:val="00DF49FD"/>
    <w:pPr>
      <w:spacing w:after="0"/>
      <w:jc w:val="both"/>
    </w:pPr>
    <w:rPr>
      <w:rFonts w:ascii="Times New Roman" w:eastAsia="Times New Roman" w:hAnsi="Times New Roman" w:cs="Times New Roman"/>
      <w:sz w:val="2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F49FD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40FB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40FB"/>
  </w:style>
  <w:style w:type="character" w:styleId="Refdenotaalpie">
    <w:name w:val="footnote reference"/>
    <w:basedOn w:val="Fuentedeprrafopredeter"/>
    <w:uiPriority w:val="99"/>
    <w:semiHidden/>
    <w:unhideWhenUsed/>
    <w:rsid w:val="00E740F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65A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B2D76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65F3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65F3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65F3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F3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F49FD"/>
    <w:pPr>
      <w:spacing w:line="276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semiHidden/>
    <w:rsid w:val="00DF49FD"/>
    <w:pPr>
      <w:spacing w:after="0"/>
      <w:jc w:val="both"/>
    </w:pPr>
    <w:rPr>
      <w:rFonts w:ascii="Times New Roman" w:eastAsia="Times New Roman" w:hAnsi="Times New Roman" w:cs="Times New Roman"/>
      <w:sz w:val="2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F49FD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40FB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40FB"/>
  </w:style>
  <w:style w:type="character" w:styleId="Refdenotaalpie">
    <w:name w:val="footnote reference"/>
    <w:basedOn w:val="Fuentedeprrafopredeter"/>
    <w:uiPriority w:val="99"/>
    <w:semiHidden/>
    <w:unhideWhenUsed/>
    <w:rsid w:val="00E740F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65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F84128299BC64B994A2F45B9D5B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4BEB-66B8-C649-82AD-EB3870CAEE58}"/>
      </w:docPartPr>
      <w:docPartBody>
        <w:p w:rsidR="00D92F24" w:rsidRDefault="00F154A7" w:rsidP="00F154A7">
          <w:pPr>
            <w:pStyle w:val="4BF84128299BC64B994A2F45B9D5BF3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113432E2E856F45B31831E7BA02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E3B7D-C43C-3E4B-ADA2-13E5E90A00A1}"/>
      </w:docPartPr>
      <w:docPartBody>
        <w:p w:rsidR="00D92F24" w:rsidRDefault="00F154A7" w:rsidP="00F154A7">
          <w:pPr>
            <w:pStyle w:val="3113432E2E856F45B31831E7BA02B394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FD587F6754E4848851D0DCCB274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E694-60A6-5344-B7CD-86836C51FCC4}"/>
      </w:docPartPr>
      <w:docPartBody>
        <w:p w:rsidR="00D92F24" w:rsidRDefault="00F154A7" w:rsidP="00F154A7">
          <w:pPr>
            <w:pStyle w:val="FFD587F6754E4848851D0DCCB274A7DF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A7"/>
    <w:rsid w:val="00266C64"/>
    <w:rsid w:val="00A74BC3"/>
    <w:rsid w:val="00A754E7"/>
    <w:rsid w:val="00D92F24"/>
    <w:rsid w:val="00F1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BF84128299BC64B994A2F45B9D5BF3E">
    <w:name w:val="4BF84128299BC64B994A2F45B9D5BF3E"/>
    <w:rsid w:val="00F154A7"/>
  </w:style>
  <w:style w:type="paragraph" w:customStyle="1" w:styleId="3113432E2E856F45B31831E7BA02B394">
    <w:name w:val="3113432E2E856F45B31831E7BA02B394"/>
    <w:rsid w:val="00F154A7"/>
  </w:style>
  <w:style w:type="paragraph" w:customStyle="1" w:styleId="FFD587F6754E4848851D0DCCB274A7DF">
    <w:name w:val="FFD587F6754E4848851D0DCCB274A7DF"/>
    <w:rsid w:val="00F154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BF84128299BC64B994A2F45B9D5BF3E">
    <w:name w:val="4BF84128299BC64B994A2F45B9D5BF3E"/>
    <w:rsid w:val="00F154A7"/>
  </w:style>
  <w:style w:type="paragraph" w:customStyle="1" w:styleId="3113432E2E856F45B31831E7BA02B394">
    <w:name w:val="3113432E2E856F45B31831E7BA02B394"/>
    <w:rsid w:val="00F154A7"/>
  </w:style>
  <w:style w:type="paragraph" w:customStyle="1" w:styleId="FFD587F6754E4848851D0DCCB274A7DF">
    <w:name w:val="FFD587F6754E4848851D0DCCB274A7DF"/>
    <w:rsid w:val="00F15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EAF344-24A3-4AFF-A009-B38309F4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PQRFY-VCW3V-8MBF4-2H8Y8-KDBBB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f s df</dc:creator>
  <cp:lastModifiedBy>Usuario</cp:lastModifiedBy>
  <cp:revision>2</cp:revision>
  <cp:lastPrinted>2022-04-13T08:15:00Z</cp:lastPrinted>
  <dcterms:created xsi:type="dcterms:W3CDTF">2022-04-13T09:29:00Z</dcterms:created>
  <dcterms:modified xsi:type="dcterms:W3CDTF">2022-04-13T09:29:00Z</dcterms:modified>
</cp:coreProperties>
</file>